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中国A股市场指数增强策略深度研究报告：微观结构、演进历程与技术实现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执行摘要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中国A股市场作为全球第二大股票市场，其独特的微观结构、投资者构成及监管环境，为量化指数增强（Index Enhancement）策略提供了与成熟市场截然不同的超额收益（Alpha）土壤。不同于完全有效市场假说（EMH）下的被动投资逻辑，A股市场显著的散户化特征、非理性的交易行为以及T+1交易制度带来的流动性不对称，使得“指数增强”——即在跟踪标的指数（如沪深300、中证500、中证1000）Beta收益的基础上，通过主动管理获取Alpha收益——成为机构投资者的核心策略之一。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本报告旨在全面、详尽地剖析A股市场指数增强策略的运作机理与实现路径。报告首先从A股特有的T+1交易制度与涨跌幅限制入手，深入探讨其对定价效率、流动性折价及隔夜收益的深刻影响，揭示了量化策略在A股获取超额收益的制度性来源。随后，报告将系统性梳理指数增强策略从线性的多因子模型（1.0时代），到机器学习树模型（2.0时代），再到深度学习与端到端挖掘（3.0时代）的演进脉络，重点解析Transformer、图神经网络（GAT）等前沿AI技术在因子挖掘与风险控制中的应用。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在技术实现层面，报告将详细拆解数据清洗、因子正交化、风险模型构建及组合优化的具体步骤，特别关注如何通过正交化剥离风险因子的Alpha信息以实现纯粹的风控。此外，报告还将深入探讨作为增强策略重要收益增厚手段的“T0日内回转交易”策略，分析其在T+1约束下的算法实现与收益贡献。最后，报告将建立一套完善的业绩评价体系，涵盖信息比率（IR）、跟踪误差（TE）及超额回撤等关键指标，并对当前策略面临的拥挤度风险与未来发展趋势进行展望。</w:t>
      </w:r>
    </w:p>
    <w:p w:rsidR="00000000" w:rsidDel="00000000" w:rsidP="00000000" w:rsidRDefault="00000000" w:rsidRPr="00000000" w14:paraId="00000006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第一章 A股市场微观结构与策略环境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理解A股指数增强策略的前提，是深刻洞察其赖以生存的市场环境。A股并非一个理论上的完美市场，其制度性摩擦和投资者行为偏差，既是策略实施的约束，也是超额收益的源泉。</w:t>
      </w:r>
    </w:p>
    <w:p w:rsidR="00000000" w:rsidDel="00000000" w:rsidP="00000000" w:rsidRDefault="00000000" w:rsidRPr="00000000" w14:paraId="00000008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1.1 T+1交易制度的经济学解释与定价影响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纵观全球股票市场，中国A股是当前主要市场中唯一采用T+1交易制度的市场。这一制度规定，投资者在T日买入的股票，必须等到T+1日才能卖出。这一看似简单的规则，实际上在微观层面构成了对投资者交易行为的不对称强制约束，并深刻影响了资产定价效率。</w:t>
      </w:r>
    </w:p>
    <w:p w:rsidR="00000000" w:rsidDel="00000000" w:rsidP="00000000" w:rsidRDefault="00000000" w:rsidRPr="00000000" w14:paraId="0000000A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1.1.1 流动性不对称与制度性折价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T+1制度的核心效应在于限制了投资者（尤其是资金规模较小、缺乏对冲工具的中小投资者）在日内纠错的能力。当T日市场出现剧烈波动或突发利空时，持有当日买入仓位的投资者处于“锁定”状态，无法通过卖出来管理风险。这种流动性的缺失，使得投资者在买入时要求额外的风险补偿。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根据双边界随机前沿模型的实证研究显示，T+1交易制度产生了较高的制度成本，导致了显著的“长期折价率”。具体而言，这种制度性约束平均每年导致隔夜收益折价约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11.91%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。这意味着，为了补偿T+1带来的流动性锁定风险，股票的隔夜收益率往往呈现负值，即早盘开盘价倾向于低于前一日收盘价或内在价值，这构成了A股市场特有的“负隔夜收益”现象的制度性成因。</w:t>
      </w:r>
    </w:p>
    <w:p w:rsidR="00000000" w:rsidDel="00000000" w:rsidP="00000000" w:rsidRDefault="00000000" w:rsidRPr="00000000" w14:paraId="0000000D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1.1.2 开盘博弈与议价能力失衡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T+1制度还扭曲了市场开盘时刻的供需关系。在T+1日的开盘集合竞价阶段，T日买入的筹码刚刚解禁，这部分迫切需要流动性或止损的卖盘与新的买盘进行博弈。研究发现，在这种制度约束下，买卖双方的议价能力出现了严重失衡。</w:t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市场参与方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议价能力 (Bargaining Power)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行为特征与动因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买方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60.03%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掌握流动性供给的主动权；面对T日买入后的不确定性，要求获得“买入折扣”作为激励。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卖方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39.97%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筹码刚解禁，面临潜在的隔夜风险释放需求；为了获得流动性，被迫接受折价卖出。</w:t>
            </w:r>
          </w:p>
        </w:tc>
      </w:tr>
    </w:tbl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48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这种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60.03% vs 39.97%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的议价能力差异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，直接导致了开盘价格的下压。对于指数增强策略而言，理解这一点至关重要：它解释了为什么简单的动量策略在A股往往需要配合精细的日内择时，也为算法交易在开盘时段的执行策略提供了理论依据。</w:t>
      </w:r>
    </w:p>
    <w:p w:rsidR="00000000" w:rsidDel="00000000" w:rsidP="00000000" w:rsidRDefault="00000000" w:rsidRPr="00000000" w14:paraId="00000019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1.1.3 波动性与投机行为的悖论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实施T+1制度的初衷是为了抑制投机，减少市场波动。然而，Scheinkman and Xiong (2003) 以及后续的研究指出，在异质信念（Heterogeneous Beliefs）较强的市场中，限制交易频率并不一定能降低波动。相反，在中国股市这样一个散户比例极高、换手率长期处于高位的市场中，T+1制度可能产生反向激励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由于缺乏日内纠错机制，投资者倾向于在看涨时过度自信地追高，而在看跌时因无法卖出而产生恐慌性抛压的累积，导致T+1日开盘的波动加剧。此外，为了规避T+1限制，市场衍生出了通过底仓进行“T+0”操作的变通模式，这反而刺激了特定类型的投机性交易。对于量化策略而言，这种由制度约束引发的非理性波动，正是Alpha收益的重要来源。</w:t>
      </w:r>
    </w:p>
    <w:p w:rsidR="00000000" w:rsidDel="00000000" w:rsidP="00000000" w:rsidRDefault="00000000" w:rsidRPr="00000000" w14:paraId="0000001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1.2 投资者结构与Alpha来源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A股市场的另一大特征是散户交易占比高。虽然近年来机构化趋势明显，但散户依然贡献了相当比例的交易量。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非理性行为：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散户容易受到情绪影响，表现出羊群效应、过度反应或反应不足。例如，对热门概念股的追逐导致估值泡沫（高估），而对冷门股的忽视导致估值洼地（低估）。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彩票型股票偏好：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散户偏好低价、高波动、小市值的“彩票型”股票，导致这类股票长期由散户定价，产生负的超额收益。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指数增强策略的核心逻辑，就是利用量化模型识别这些被错误定价的股票。通过在组合中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低配（Underweight）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高估值的“垃圾股”，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超配（Overweight）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低估值或具有成长潜力的优质股，从而在长期跑赢基准指数。由于A股市场的定价效率远低于美股市场，因此A股的指数增强策略往往能获得比海外市场更高的超额收益（Alpha）。</w:t>
      </w:r>
    </w:p>
    <w:p w:rsidR="00000000" w:rsidDel="00000000" w:rsidP="00000000" w:rsidRDefault="00000000" w:rsidRPr="00000000" w14:paraId="0000002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第二章 指数增强策略的基准选择与演进历程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指数增强策略并非无本之木，它必须依附于特定的基准指数。同时，随着技术的进步，其核心驱动力——多因子模型，也经历了从线性统计到人工智能的深刻变革。</w:t>
      </w:r>
    </w:p>
    <w:p w:rsidR="00000000" w:rsidDel="00000000" w:rsidP="00000000" w:rsidRDefault="00000000" w:rsidRPr="00000000" w14:paraId="0000002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2.1 核心基准指数的特征与增强难度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在中国市场，指数增强产品主要围绕三大核心宽基指数展开：沪深300、中证500和中证1000。这三个指数分别代表了A股的大盘、中盘和小盘风格，其增强难度与潜在收益特征截然不同。</w:t>
      </w:r>
    </w:p>
    <w:p w:rsidR="00000000" w:rsidDel="00000000" w:rsidP="00000000" w:rsidRDefault="00000000" w:rsidRPr="00000000" w14:paraId="00000025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2.1.1 沪深300指数（CSI 300）：大盘蓝筹的红海</w:t>
      </w:r>
    </w:p>
    <w:p w:rsidR="00000000" w:rsidDel="00000000" w:rsidP="00000000" w:rsidRDefault="00000000" w:rsidRPr="00000000" w14:paraId="00000026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指数构成：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由A股市场中市值大、流动性好的300只股票组成，涵盖了金融、消费、制造等行业的龙头企业。</w:t>
      </w:r>
    </w:p>
    <w:p w:rsidR="00000000" w:rsidDel="00000000" w:rsidP="00000000" w:rsidRDefault="00000000" w:rsidRPr="00000000" w14:paraId="00000027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特征：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这些公司研究覆盖度极高，定价相对充分，机构持仓密集。</w:t>
      </w:r>
    </w:p>
    <w:p w:rsidR="00000000" w:rsidDel="00000000" w:rsidP="00000000" w:rsidRDefault="00000000" w:rsidRPr="00000000" w14:paraId="00000028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增强现状：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沪深300指数增强被视为中国量化投资的“起点”，也是难度最大的“高地”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。由于定价效率较高，挖掘Alpha的难度极大，超额收益的空间相对较小。然而，能否在沪深300上做出稳定的超额收益，是衡量一家量化机构综合实力的试金石。</w:t>
      </w:r>
    </w:p>
    <w:p w:rsidR="00000000" w:rsidDel="00000000" w:rsidP="00000000" w:rsidRDefault="00000000" w:rsidRPr="00000000" w14:paraId="00000029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2.1.2 中证500指数（CSI 500）：中盘成长的中坚</w:t>
      </w:r>
    </w:p>
    <w:p w:rsidR="00000000" w:rsidDel="00000000" w:rsidP="00000000" w:rsidRDefault="00000000" w:rsidRPr="00000000" w14:paraId="0000002A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指数构成：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剔除沪深300成分股后，总市值排名前500的股票。</w:t>
      </w:r>
    </w:p>
    <w:p w:rsidR="00000000" w:rsidDel="00000000" w:rsidP="00000000" w:rsidRDefault="00000000" w:rsidRPr="00000000" w14:paraId="0000002B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特征：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行业分布更为均衡，包含大量细分行业龙头和成长型企业，如医药生物、电子、计算机等。</w:t>
      </w:r>
    </w:p>
    <w:p w:rsidR="00000000" w:rsidDel="00000000" w:rsidP="00000000" w:rsidRDefault="00000000" w:rsidRPr="00000000" w14:paraId="0000002C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增强现状：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中证500曾是量化指增产品最拥挤的赛道。其波动率高于沪深300，且成分股数量多，给量化选股提供了广阔的空间。历史上，中证500指增产品的超额收益非常可观。</w:t>
      </w:r>
    </w:p>
    <w:p w:rsidR="00000000" w:rsidDel="00000000" w:rsidP="00000000" w:rsidRDefault="00000000" w:rsidRPr="00000000" w14:paraId="0000002D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2.1.3 中证1000指数（CSI 1000）：小盘活跃的蓝海</w:t>
      </w:r>
    </w:p>
    <w:p w:rsidR="00000000" w:rsidDel="00000000" w:rsidP="00000000" w:rsidRDefault="00000000" w:rsidRPr="00000000" w14:paraId="0000002E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指数构成：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剔除中证800（沪深300+中证500）成分股后，市值排名前1000的股票。</w:t>
      </w:r>
    </w:p>
    <w:p w:rsidR="00000000" w:rsidDel="00000000" w:rsidP="00000000" w:rsidRDefault="00000000" w:rsidRPr="00000000" w14:paraId="0000002F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特征：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市值偏小，波动率大，换手率高，散户参与度极高。</w:t>
      </w:r>
    </w:p>
    <w:p w:rsidR="00000000" w:rsidDel="00000000" w:rsidP="00000000" w:rsidRDefault="00000000" w:rsidRPr="00000000" w14:paraId="00000030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增强现状：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这是近年来超额收益最丰厚的领域。由于分析师覆盖少，信息不对称严重，且交易活跃，量化模型（尤其是高频量价模型）极易从中捕捉到错误定价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。Transformer等深度学习模型在中证1000上的Rank IC通常显著高于大盘指数。</w:t>
      </w:r>
    </w:p>
    <w:p w:rsidR="00000000" w:rsidDel="00000000" w:rsidP="00000000" w:rsidRDefault="00000000" w:rsidRPr="00000000" w14:paraId="0000003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2.2 多因子模型的三个演进阶段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指数增强的灵魂在于“多因子模型”（Multi-Factor Model）。该模型试图通过一系列因子来解释和预测股票收益。A股的因子模型经历了三个明显的迭代阶段。</w:t>
      </w:r>
    </w:p>
    <w:p w:rsidR="00000000" w:rsidDel="00000000" w:rsidP="00000000" w:rsidRDefault="00000000" w:rsidRPr="00000000" w14:paraId="00000033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2.2.1 1.0 时代：线性多因子与Barra风格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早期的指数增强策略主要基于金融逻辑和线性回归。</w:t>
      </w:r>
    </w:p>
    <w:p w:rsidR="00000000" w:rsidDel="00000000" w:rsidP="00000000" w:rsidRDefault="00000000" w:rsidRPr="00000000" w14:paraId="00000035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核心逻辑：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认为股票收益来源于几个核心因子的线性组合。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</w:rPr>
        <w:drawing>
          <wp:inline distB="19050" distT="19050" distL="19050" distR="19050">
            <wp:extent cx="4526909" cy="228728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6909" cy="2287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36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常用因子：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低市盈率（Value）、高ROE（Quality）、小市值（Size）。</w:t>
      </w:r>
    </w:p>
    <w:p w:rsidR="00000000" w:rsidDel="00000000" w:rsidP="00000000" w:rsidRDefault="00000000" w:rsidRPr="00000000" w14:paraId="00000037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局限性：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逻辑简单，容易拥挤。随着资金涌入，简单的价值因子和市值因子逐渐失效，甚至在某些年份成为负贡献。</w:t>
      </w:r>
    </w:p>
    <w:p w:rsidR="00000000" w:rsidDel="00000000" w:rsidP="00000000" w:rsidRDefault="00000000" w:rsidRPr="00000000" w14:paraId="00000038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2.2.2 2.0 时代：机器学习与非线性树模型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随着算力的提升，GBDT（梯度提升决策树）、XGBoost、LightGBM等机器学习算法开始主导市场。</w:t>
      </w:r>
    </w:p>
    <w:p w:rsidR="00000000" w:rsidDel="00000000" w:rsidP="00000000" w:rsidRDefault="00000000" w:rsidRPr="00000000" w14:paraId="0000003A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核心逻辑：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股票收益与因子之间并非简单的线性关系，而是复杂的非线性互动。例如，低估值（Value）可能只在特定的市场情绪（Sentiment）下才有效。树模型能够自动捕捉这种高阶交互特征。</w:t>
      </w:r>
    </w:p>
    <w:p w:rsidR="00000000" w:rsidDel="00000000" w:rsidP="00000000" w:rsidRDefault="00000000" w:rsidRPr="00000000" w14:paraId="0000003B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数据源扩展：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除了基本面数据，开始大量引入高频量价数据（分钟级、Tick级数据），挖掘微观结构中的规律。</w:t>
      </w:r>
    </w:p>
    <w:p w:rsidR="00000000" w:rsidDel="00000000" w:rsidP="00000000" w:rsidRDefault="00000000" w:rsidRPr="00000000" w14:paraId="0000003C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2.2.3 3.0 时代：深度学习与端到端挖掘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当前，头部量化机构正大举迈向深度学习，特别是Transformer和图神经网络（GNN）的应用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3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3E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时序建模（RNN/LSTM/Transformer）：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股票价格波动本质上是一个时间序列问题。传统的因子模型往往忽略了价格变化的时序依赖性。利用Transformer的自注意力机制（Self-Attention），模型可以捕捉长距离的时间依赖关系。例如，浙商证券的研报显示，基于Transformer挖掘的因子，在中证1000成分股中样本外Rank IC可达16.39%，年化超额收益显著提升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3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3F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关系建模（Graph Neural Networks, GAT）：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股票之间并非孤立存在，而是通过产业链、股权、概念板块等关系紧密相连。图注意力网络（GAT）通过构建股票关系图谱，捕捉“牵一发而动全身”的溢出效应。</w:t>
      </w:r>
    </w:p>
    <w:p w:rsidR="00000000" w:rsidDel="00000000" w:rsidP="00000000" w:rsidRDefault="00000000" w:rsidRPr="00000000" w14:paraId="00000040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端到端挖掘（End-to-End）：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不再依赖人工定义的因子（如RSI、MACD），而是直接将原始的Tick数据或K线数据输入神经网络，由模型自动提取特征。这种方法能挖掘出人类难以理解但统计显著的深层规律。</w:t>
      </w:r>
    </w:p>
    <w:p w:rsidR="00000000" w:rsidDel="00000000" w:rsidP="00000000" w:rsidRDefault="00000000" w:rsidRPr="00000000" w14:paraId="0000004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第三章 增强策略的技术实现：从数据到组合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构建一个成熟的指数增强策略，需要经过严谨的工业化流程。本章将详细拆解这一流程的关键环节：数据处理、因子构建与正交化、风险控制与组合优化。</w:t>
      </w:r>
    </w:p>
    <w:p w:rsidR="00000000" w:rsidDel="00000000" w:rsidP="00000000" w:rsidRDefault="00000000" w:rsidRPr="00000000" w14:paraId="0000004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3.1 因子构建与正交化处理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在多因子模型中，因子之间的共线性（Multicollinearity）是影响模型稳定性的主要杀手。如果“动量因子”和“成长因子”高度相关，模型就难以分辨收益究竟来自哪里，导致权重分配失真。因此，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因子正交化（Orthogonalization）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是必不可少的步骤。</w:t>
      </w:r>
    </w:p>
    <w:p w:rsidR="00000000" w:rsidDel="00000000" w:rsidP="00000000" w:rsidRDefault="00000000" w:rsidRPr="00000000" w14:paraId="00000045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3.1.1 常见的正交化方法</w:t>
      </w:r>
    </w:p>
    <w:p w:rsidR="00000000" w:rsidDel="00000000" w:rsidP="00000000" w:rsidRDefault="00000000" w:rsidRPr="00000000" w14:paraId="00000046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施密特正交化（Gram-Schmidt）：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这是一种迭代方法，按照预定的顺序，依次剔除因子中包含的前序因子的信息。</w:t>
      </w:r>
    </w:p>
    <w:p w:rsidR="00000000" w:rsidDel="00000000" w:rsidP="00000000" w:rsidRDefault="00000000" w:rsidRPr="00000000" w14:paraId="00000047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缺点：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结果依赖于因子的排序。排在第一位的因子保留了所有信息，而排在后面的因子被“削减”得面目全非。这在金融上不公平，因为我们往往不知道哪个因子更重要。</w:t>
      </w:r>
    </w:p>
    <w:p w:rsidR="00000000" w:rsidDel="00000000" w:rsidP="00000000" w:rsidRDefault="00000000" w:rsidRPr="00000000" w14:paraId="00000048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对称正交化（Symmetric Orthogonalization / Lowdin）：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这是目前量化领域的首选方法。</w:t>
      </w:r>
    </w:p>
    <w:p w:rsidR="00000000" w:rsidDel="00000000" w:rsidP="00000000" w:rsidRDefault="00000000" w:rsidRPr="00000000" w14:paraId="00000049">
      <w:pPr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原理：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寻找一组新的正交基，使得这组基与原始因子的距离平方和最小。</w:t>
      </w:r>
    </w:p>
    <w:p w:rsidR="00000000" w:rsidDel="00000000" w:rsidP="00000000" w:rsidRDefault="00000000" w:rsidRPr="00000000" w14:paraId="0000004A">
      <w:pPr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优点：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对所有因子一视同仁，最大限度地保留了原始因子的分布特征和信息，避免了人为排序带来的偏差。</w:t>
      </w:r>
    </w:p>
    <w:p w:rsidR="00000000" w:rsidDel="00000000" w:rsidP="00000000" w:rsidRDefault="00000000" w:rsidRPr="00000000" w14:paraId="0000004B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3.1.2 剥离Alpha的风险因子构建</w:t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在3.0时代的深度学习模型中，正交化的应用更为精细。为了构建纯粹的风险模型，研究人员需要从风险因子中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剥离Alpha信息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4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4D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问题背景：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传统的波动率因子或量价风险因子，往往同时也包含了选股信息（Alpha）。如果直接限制这些因子的暴露，可能会误杀高收益股票。</w:t>
      </w:r>
    </w:p>
    <w:p w:rsidR="00000000" w:rsidDel="00000000" w:rsidP="00000000" w:rsidRDefault="00000000" w:rsidRPr="00000000" w14:paraId="0000004E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解决方案：</w:t>
      </w:r>
    </w:p>
    <w:p w:rsidR="00000000" w:rsidDel="00000000" w:rsidP="00000000" w:rsidRDefault="00000000" w:rsidRPr="00000000" w14:paraId="0000004F">
      <w:pPr>
        <w:numPr>
          <w:ilvl w:val="1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利用深度学习（如LSTM+GAT）挖掘出高解释力的风险特征。</w:t>
      </w:r>
    </w:p>
    <w:p w:rsidR="00000000" w:rsidDel="00000000" w:rsidP="00000000" w:rsidRDefault="00000000" w:rsidRPr="00000000" w14:paraId="00000050">
      <w:pPr>
        <w:numPr>
          <w:ilvl w:val="1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将这些特征对Alpha因子进行正交化处理。</w:t>
      </w:r>
    </w:p>
    <w:p w:rsidR="00000000" w:rsidDel="00000000" w:rsidP="00000000" w:rsidRDefault="00000000" w:rsidRPr="00000000" w14:paraId="00000051">
      <w:pPr>
        <w:numPr>
          <w:ilvl w:val="1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得到残差部分，即“纯粹风险因子”。其IC序列围绕0均值波动，不包含方向性的预测能力，只代表波动风险。</w:t>
      </w:r>
    </w:p>
    <w:p w:rsidR="00000000" w:rsidDel="00000000" w:rsidP="00000000" w:rsidRDefault="00000000" w:rsidRPr="00000000" w14:paraId="00000052">
      <w:pPr>
        <w:numPr>
          <w:ilvl w:val="1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在组合优化中约束这些纯粹风险因子，既能控制回撤，又不损伤超额收益。</w:t>
      </w:r>
    </w:p>
    <w:p w:rsidR="00000000" w:rsidDel="00000000" w:rsidP="00000000" w:rsidRDefault="00000000" w:rsidRPr="00000000" w14:paraId="0000005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3.2 风险模型与组合优化</w:t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指数增强的目标函数并非单纯的收益最大化，而是“在跟踪误差约束下的超额收益最大化”。</w:t>
      </w:r>
    </w:p>
    <w:p w:rsidR="00000000" w:rsidDel="00000000" w:rsidP="00000000" w:rsidRDefault="00000000" w:rsidRPr="00000000" w14:paraId="00000055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3.2.1 目标函数与约束条件</w:t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数学形式通常为：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</w:rPr>
        <w:drawing>
          <wp:inline distB="19050" distT="19050" distL="19050" distR="19050">
            <wp:extent cx="5905500" cy="32496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249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其中，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</w:rPr>
        <w:drawing>
          <wp:inline distB="19050" distT="19050" distL="19050" distR="19050">
            <wp:extent cx="136996" cy="234851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996" cy="2348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是权重向量，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</w:rPr>
        <w:drawing>
          <wp:inline distB="19050" distT="19050" distL="19050" distR="19050">
            <wp:extent cx="118690" cy="237380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690" cy="237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是预测收益向量，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</w:rPr>
        <w:drawing>
          <wp:inline distB="19050" distT="19050" distL="19050" distR="19050">
            <wp:extent cx="133201" cy="218831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201" cy="2188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是风险协方差矩阵，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</w:rPr>
        <w:drawing>
          <wp:inline distB="19050" distT="19050" distL="19050" distR="19050">
            <wp:extent cx="107529" cy="234608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529" cy="2346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是风险厌恶系数。</w:t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核心约束条件包括：</w:t>
      </w:r>
    </w:p>
    <w:p w:rsidR="00000000" w:rsidDel="00000000" w:rsidP="00000000" w:rsidRDefault="00000000" w:rsidRPr="00000000" w14:paraId="0000005A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风格中性（Style Neutrality）：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组合在市值、贝塔（Beta）、动量等风格因子上的暴露，必须与基准指数保持一致（通常限制在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</w:rPr>
        <w:drawing>
          <wp:inline distB="19050" distT="19050" distL="19050" distR="19050">
            <wp:extent cx="379140" cy="218005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140" cy="2180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标准差以内）。这确保了超额收益来自于选股（Alpha），而不是风格漂移（Style Drift）。</w:t>
      </w:r>
    </w:p>
    <w:p w:rsidR="00000000" w:rsidDel="00000000" w:rsidP="00000000" w:rsidRDefault="00000000" w:rsidRPr="00000000" w14:paraId="0000005B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行业中性（Industry Neutrality）：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各行业的权重偏离度通常限制在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</w:rPr>
        <w:drawing>
          <wp:inline distB="19050" distT="19050" distL="19050" distR="19050">
            <wp:extent cx="389334" cy="218407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334" cy="2184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或更低，防止组合过度押注某一行业。</w:t>
      </w:r>
    </w:p>
    <w:p w:rsidR="00000000" w:rsidDel="00000000" w:rsidP="00000000" w:rsidRDefault="00000000" w:rsidRPr="00000000" w14:paraId="0000005C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个股权重限制：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防止单只股票持仓过重，降低特质风险。</w:t>
      </w:r>
    </w:p>
    <w:p w:rsidR="00000000" w:rsidDel="00000000" w:rsidP="00000000" w:rsidRDefault="00000000" w:rsidRPr="00000000" w14:paraId="0000005D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3.2.2 深度学习在风控中的应用</w:t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2024年以来的市场波动表明，传统的Barra风险模型（基于长期历史数据）在应对市场风格极速切换时存在滞后。深度学习模型通过短周期的量价数据训练，能更敏锐地捕捉市场的短期风险特征。</w:t>
      </w:r>
    </w:p>
    <w:p w:rsidR="00000000" w:rsidDel="00000000" w:rsidP="00000000" w:rsidRDefault="00000000" w:rsidRPr="00000000" w14:paraId="0000005F">
      <w:pPr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案例：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某策略在中证500和中证1000指增中引入了基于深度学习的短周期量价风控指标。在2024年春节前后的微盘股崩盘和9月底的市场反转中，该策略通过及时识别高风险特征，显著降低了超额回撤幅度，体现了AI风控在极端行情下的优势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4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6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3.3 业绩评价指标</w:t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评估一个指数增强策略的优劣，不仅看收益，更看收益的质量。</w:t>
      </w:r>
    </w:p>
    <w:p w:rsidR="00000000" w:rsidDel="00000000" w:rsidP="00000000" w:rsidRDefault="00000000" w:rsidRPr="00000000" w14:paraId="00000062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信息比率（Information Ratio, IR）：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核心指标。计算公式为 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</w:rPr>
        <w:drawing>
          <wp:inline distB="19050" distT="19050" distL="19050" distR="19050">
            <wp:extent cx="927869" cy="306101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7869" cy="3061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，即超额收益与跟踪误差的比值。IR越高，说明单位主动风险带来的超额收益越高。在A股，优秀的指增策略IR通常要求在 2.0 以上，甚至达到 3.0-4.0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3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63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超额最大回撤（Max Drawdown of Excess Return）：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这是一个相对概念。即使指数下跌20%，如果组合下跌15%，超额收益仍是正的。但如果指数上涨10%，组合只涨5%，这就是“超额回撤”。控制超额回撤是留住投资者的关键。</w:t>
      </w:r>
    </w:p>
    <w:p w:rsidR="00000000" w:rsidDel="00000000" w:rsidP="00000000" w:rsidRDefault="00000000" w:rsidRPr="00000000" w14:paraId="00000064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跟踪误差（Tracking Error）：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衡量组合与基准的偏离程度。对于增强型产品，既不能太小（否则无法做增强），也不能太大（否则变成了主动基金）。</w:t>
      </w:r>
    </w:p>
    <w:p w:rsidR="00000000" w:rsidDel="00000000" w:rsidP="00000000" w:rsidRDefault="00000000" w:rsidRPr="00000000" w14:paraId="00000065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第四章 执行端的Alpha：T+1制度下的算法交易与T0策略</w:t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在策略产生理想持仓后，如何以最低成本完成交易，甚至在交易环节创造额外收益，是A股量化策略的另一大战场。由于T+1制度的存在，这一环节衍生出了独特的“日内回转交易”（T0）策略。</w:t>
      </w:r>
    </w:p>
    <w:p w:rsidR="00000000" w:rsidDel="00000000" w:rsidP="00000000" w:rsidRDefault="00000000" w:rsidRPr="00000000" w14:paraId="0000006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4.1 T0策略的运作机理</w:t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虽然A股实行T+1，但如果投资者持有底仓（即昨日及以前买入的股票），就可以变相实现T+0交易。</w:t>
      </w:r>
    </w:p>
    <w:p w:rsidR="00000000" w:rsidDel="00000000" w:rsidP="00000000" w:rsidRDefault="00000000" w:rsidRPr="00000000" w14:paraId="0000006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原理：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假设账户持有10,000股万科A的底仓。</w:t>
      </w:r>
    </w:p>
    <w:p w:rsidR="00000000" w:rsidDel="00000000" w:rsidP="00000000" w:rsidRDefault="00000000" w:rsidRPr="00000000" w14:paraId="0000006A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上午：股价冲高，卖出10,000股（这是底仓，可卖）。</w:t>
      </w:r>
    </w:p>
    <w:p w:rsidR="00000000" w:rsidDel="00000000" w:rsidP="00000000" w:rsidRDefault="00000000" w:rsidRPr="00000000" w14:paraId="0000006B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下午：股价回落，买回10,000股。</w:t>
      </w:r>
    </w:p>
    <w:p w:rsidR="00000000" w:rsidDel="00000000" w:rsidP="00000000" w:rsidRDefault="00000000" w:rsidRPr="00000000" w14:paraId="0000006C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结果：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收盘时持仓数量仍为10,000股，符合T+1规则，但账户中多出了高抛低吸的差价现金。</w:t>
      </w:r>
    </w:p>
    <w:p w:rsidR="00000000" w:rsidDel="00000000" w:rsidP="00000000" w:rsidRDefault="00000000" w:rsidRPr="00000000" w14:paraId="0000006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收益贡献：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这种策略不改变底仓敞口，属于完全的Alpha收益。据业内估算，成熟的T0策略每年能为指数增强产品额外贡献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6% - 15%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的增强收益，部分头部算法甚至宣称能达到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12%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的年化超额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6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。对于换手率较高的中证1000指增产品，T0收益是总超额收益的重要组成部分。</w:t>
      </w:r>
    </w:p>
    <w:p w:rsidR="00000000" w:rsidDel="00000000" w:rsidP="00000000" w:rsidRDefault="00000000" w:rsidRPr="00000000" w14:paraId="0000006E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4.2 算法交易的类型与智能化</w:t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为了执行T0策略以及减少大额调仓的冲击成本，机构普遍采用算法交易（Algorithmic Trading）。</w:t>
      </w:r>
    </w:p>
    <w:p w:rsidR="00000000" w:rsidDel="00000000" w:rsidP="00000000" w:rsidRDefault="00000000" w:rsidRPr="00000000" w14:paraId="00000070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4.2.1 被动执行算法</w:t>
      </w:r>
    </w:p>
    <w:p w:rsidR="00000000" w:rsidDel="00000000" w:rsidP="00000000" w:rsidRDefault="00000000" w:rsidRPr="00000000" w14:paraId="0000007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TWAP（时间加权平均价格）：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将大单均匀切割到全天交易时段。</w:t>
      </w:r>
    </w:p>
    <w:p w:rsidR="00000000" w:rsidDel="00000000" w:rsidP="00000000" w:rsidRDefault="00000000" w:rsidRPr="00000000" w14:paraId="0000007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VWAP（成交量加权平均价格）：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根据历史成交量分布曲线来拆单，成交量大的时段多挂单，反之少挂单。</w:t>
      </w:r>
    </w:p>
    <w:p w:rsidR="00000000" w:rsidDel="00000000" w:rsidP="00000000" w:rsidRDefault="00000000" w:rsidRPr="00000000" w14:paraId="0000007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目的：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紧贴市场均价，隐藏交易意图，减少对盘口的冲击。</w:t>
      </w:r>
    </w:p>
    <w:p w:rsidR="00000000" w:rsidDel="00000000" w:rsidP="00000000" w:rsidRDefault="00000000" w:rsidRPr="00000000" w14:paraId="00000074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4.2.2 主动增强算法（Smart T0）</w:t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随着AI的介入，算法交易从“减少成本”转向“创造收益”。</w:t>
      </w:r>
    </w:p>
    <w:p w:rsidR="00000000" w:rsidDel="00000000" w:rsidP="00000000" w:rsidRDefault="00000000" w:rsidRPr="00000000" w14:paraId="00000076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AI拆单：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利用深度学习（如强化学习）预测未来几分钟的股价走势（Tick级预测）。如果预测上涨，则延迟卖出、加速买入；如果预测下跌，则加速卖出、延迟买入。</w:t>
      </w:r>
    </w:p>
    <w:p w:rsidR="00000000" w:rsidDel="00000000" w:rsidP="00000000" w:rsidRDefault="00000000" w:rsidRPr="00000000" w14:paraId="00000077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普及化趋势：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过去这种技术仅掌握在顶尖量化私募手中，现在已有超过20家券商（如天风证券“皓兴T0”、招商证券“智远T0”）将此类工具嵌入APP，供高净值散户（通常门槛50万-100万元）使用，用于增强持仓收益或解套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6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78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风险：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虽然号称T0，但在单边暴跌或涨跌停板的极端行情下，算法可能无法完成闭环（例如卖出后买不回来，或者买入后卖不出去），导致敞口暴露。</w:t>
      </w:r>
    </w:p>
    <w:p w:rsidR="00000000" w:rsidDel="00000000" w:rsidP="00000000" w:rsidRDefault="00000000" w:rsidRPr="00000000" w14:paraId="0000007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4.3 打新收益的补充</w:t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除了T0，参与网下新股申购（IPO打新）也是指数增强策略的一个传统收益增强来源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6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由于A股IPO存在显著的折价效应（上市后往往大涨），拥有底仓市值的增强基金可以参与网下配售，获得无风险的套利收益。虽然随着全面注册制的实施，打新收益率有所下降，但它仍是策略收益稳定器的一部分。</w:t>
      </w:r>
    </w:p>
    <w:p w:rsidR="00000000" w:rsidDel="00000000" w:rsidP="00000000" w:rsidRDefault="00000000" w:rsidRPr="00000000" w14:paraId="0000007B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第五章 总结与展望</w:t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A股市场的指数增强策略，是一场在制度约束（T+1、涨跌幅）与市场低效（散户化、高波动）之间寻找最优解的数学游戏。</w:t>
      </w:r>
    </w:p>
    <w:p w:rsidR="00000000" w:rsidDel="00000000" w:rsidP="00000000" w:rsidRDefault="00000000" w:rsidRPr="00000000" w14:paraId="0000007D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策略根基：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建立在A股独特的微观结构之上。T+1制度导致的流动性折价和开盘定价扭曲，为量化策略提供了理论上的获利空间。</w:t>
      </w:r>
    </w:p>
    <w:p w:rsidR="00000000" w:rsidDel="00000000" w:rsidP="00000000" w:rsidRDefault="00000000" w:rsidRPr="00000000" w14:paraId="0000007E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技术迭代：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已经从简单的因子罗列，进化为一场算力与算法的军备竞赛。深度学习、Transformer、图神经网络的应用，使得因子挖掘进入了“黑盒”与“高维”时代。正交化技术从简单的施密特进化为对称正交，风控模型开始尝试剥离Alpha以实现更纯粹的风险管理。</w:t>
      </w:r>
    </w:p>
    <w:p w:rsidR="00000000" w:rsidDel="00000000" w:rsidP="00000000" w:rsidRDefault="00000000" w:rsidRPr="00000000" w14:paraId="0000007F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执行为王：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T0策略和算法交易已经成为指增产品的标配。在Alpha越来越难挖掘的今天，通过精细化交易赚取“辛苦钱”变得尤为重要。</w:t>
      </w:r>
    </w:p>
    <w:p w:rsidR="00000000" w:rsidDel="00000000" w:rsidP="00000000" w:rsidRDefault="00000000" w:rsidRPr="00000000" w14:paraId="000000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未来展望：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随着A股机构化程度的加深，简单的线性因子将越来越难获取超额收益（Alpha Decay）。未来的竞争将集中在以下几个方向：</w:t>
      </w:r>
    </w:p>
    <w:p w:rsidR="00000000" w:rsidDel="00000000" w:rsidP="00000000" w:rsidRDefault="00000000" w:rsidRPr="00000000" w14:paraId="00000081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更另类的数据：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舆情数据、供应链数据、卫星数据等另类因子的挖掘。</w:t>
      </w:r>
    </w:p>
    <w:p w:rsidR="00000000" w:rsidDel="00000000" w:rsidP="00000000" w:rsidRDefault="00000000" w:rsidRPr="00000000" w14:paraId="00000082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更快的速度：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硬件加速（FPGA/GPU）在行情处理和推理上的应用。</w:t>
      </w:r>
    </w:p>
    <w:p w:rsidR="00000000" w:rsidDel="00000000" w:rsidP="00000000" w:rsidRDefault="00000000" w:rsidRPr="00000000" w14:paraId="00000083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更强的风控：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在极端行情频发的背景下，如何利用AI构建动态、非线性的风险模型，将是活下去的关键。</w:t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55" w:before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指数增强策略，作为连接被动投资与主动管理的桥梁，在A股这样一个兼具成长性与无效性的巨型市场中，仍将是未来很长一段时间内最具吸引力的投资方式之一。</w:t>
      </w:r>
    </w:p>
    <w:p w:rsidR="00000000" w:rsidDel="00000000" w:rsidP="00000000" w:rsidRDefault="00000000" w:rsidRPr="00000000" w14:paraId="00000085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Works cited</w:t>
      </w:r>
    </w:p>
    <w:p w:rsidR="00000000" w:rsidDel="00000000" w:rsidP="00000000" w:rsidRDefault="00000000" w:rsidRPr="00000000" w14:paraId="00000086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00" w:hanging="360"/>
      </w:pPr>
      <w:r w:rsidDel="00000000" w:rsidR="00000000" w:rsidRPr="00000000">
        <w:rPr>
          <w:rFonts w:ascii="Google Sans" w:cs="Google Sans" w:eastAsia="Google Sans" w:hAnsi="Google Sans"/>
          <w:sz w:val="24"/>
          <w:szCs w:val="24"/>
          <w:rtl w:val="0"/>
        </w:rPr>
        <w:t xml:space="preserve">T+1交易制度对中国股票市场的影响, accessed February 10, 2026, </w:t>
      </w:r>
      <w:hyperlink r:id="rId15">
        <w:r w:rsidDel="00000000" w:rsidR="00000000" w:rsidRPr="00000000">
          <w:rPr>
            <w:rFonts w:ascii="Google Sans" w:cs="Google Sans" w:eastAsia="Google Sans" w:hAnsi="Google Sans"/>
            <w:color w:val="0000ee"/>
            <w:sz w:val="24"/>
            <w:szCs w:val="24"/>
            <w:u w:val="single"/>
            <w:rtl w:val="0"/>
          </w:rPr>
          <w:t xml:space="preserve">http://docs.static.szse.cn/www/aboutus/research/secuities/daily/W020200818633845765180.pdf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00" w:hanging="360"/>
      </w:pPr>
      <w:r w:rsidDel="00000000" w:rsidR="00000000" w:rsidRPr="00000000">
        <w:rPr>
          <w:rFonts w:ascii="Google Sans" w:cs="Google Sans" w:eastAsia="Google Sans" w:hAnsi="Google Sans"/>
          <w:sz w:val="24"/>
          <w:szCs w:val="24"/>
          <w:rtl w:val="0"/>
        </w:rPr>
        <w:t xml:space="preserve">沪深300指增(指数增强策略) - 会计百科, accessed February 10, 2026, </w:t>
      </w:r>
      <w:hyperlink r:id="rId16">
        <w:r w:rsidDel="00000000" w:rsidR="00000000" w:rsidRPr="00000000">
          <w:rPr>
            <w:rFonts w:ascii="Google Sans" w:cs="Google Sans" w:eastAsia="Google Sans" w:hAnsi="Google Sans"/>
            <w:color w:val="0000ee"/>
            <w:sz w:val="24"/>
            <w:szCs w:val="24"/>
            <w:u w:val="single"/>
            <w:rtl w:val="0"/>
          </w:rPr>
          <w:t xml:space="preserve">https://baike.kuaiji.com/v192912255.html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00" w:hanging="360"/>
      </w:pPr>
      <w:r w:rsidDel="00000000" w:rsidR="00000000" w:rsidRPr="00000000">
        <w:rPr>
          <w:rFonts w:ascii="Google Sans" w:cs="Google Sans" w:eastAsia="Google Sans" w:hAnsi="Google Sans"/>
          <w:sz w:val="24"/>
          <w:szCs w:val="24"/>
          <w:rtl w:val="0"/>
        </w:rPr>
        <w:t xml:space="preserve">基于TRANSFORMER因子挖掘的指增策略 - A股-研报详情- 新浪, accessed February 10, 2026, </w:t>
      </w:r>
      <w:hyperlink r:id="rId17">
        <w:r w:rsidDel="00000000" w:rsidR="00000000" w:rsidRPr="00000000">
          <w:rPr>
            <w:rFonts w:ascii="Google Sans" w:cs="Google Sans" w:eastAsia="Google Sans" w:hAnsi="Google Sans"/>
            <w:color w:val="0000ee"/>
            <w:sz w:val="24"/>
            <w:szCs w:val="24"/>
            <w:u w:val="single"/>
            <w:rtl w:val="0"/>
          </w:rPr>
          <w:t xml:space="preserve">https://stock.finance.sina.com.cn/stock/view/paper.php?symbol=sh000001&amp;reportid=754867916740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00" w:hanging="360"/>
      </w:pPr>
      <w:r w:rsidDel="00000000" w:rsidR="00000000" w:rsidRPr="00000000">
        <w:rPr>
          <w:rFonts w:ascii="Google Sans" w:cs="Google Sans" w:eastAsia="Google Sans" w:hAnsi="Google Sans"/>
          <w:sz w:val="24"/>
          <w:szCs w:val="24"/>
          <w:rtl w:val="0"/>
        </w:rPr>
        <w:t xml:space="preserve">量化专题：基于深度学习的短周期量价风控体系 - 新浪财经, accessed February 10, 2026, </w:t>
      </w:r>
      <w:hyperlink r:id="rId18">
        <w:r w:rsidDel="00000000" w:rsidR="00000000" w:rsidRPr="00000000">
          <w:rPr>
            <w:rFonts w:ascii="Google Sans" w:cs="Google Sans" w:eastAsia="Google Sans" w:hAnsi="Google Sans"/>
            <w:color w:val="0000ee"/>
            <w:sz w:val="24"/>
            <w:szCs w:val="24"/>
            <w:u w:val="single"/>
            <w:rtl w:val="0"/>
          </w:rPr>
          <w:t xml:space="preserve">https://finance.sina.com.cn/stock/stockzmt/2025-01-16/doc-inefcvrz6894088.shtml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00" w:hanging="360"/>
      </w:pPr>
      <w:r w:rsidDel="00000000" w:rsidR="00000000" w:rsidRPr="00000000">
        <w:rPr>
          <w:rFonts w:ascii="Google Sans" w:cs="Google Sans" w:eastAsia="Google Sans" w:hAnsi="Google Sans"/>
          <w:sz w:val="24"/>
          <w:szCs w:val="24"/>
          <w:rtl w:val="0"/>
        </w:rPr>
        <w:t xml:space="preserve">上海证券报社基金评价业务信息披露 - 中国证券投资基金业协会, accessed February 10, 2026, </w:t>
      </w:r>
      <w:hyperlink r:id="rId19">
        <w:r w:rsidDel="00000000" w:rsidR="00000000" w:rsidRPr="00000000">
          <w:rPr>
            <w:rFonts w:ascii="Google Sans" w:cs="Google Sans" w:eastAsia="Google Sans" w:hAnsi="Google Sans"/>
            <w:color w:val="0000ee"/>
            <w:sz w:val="24"/>
            <w:szCs w:val="24"/>
            <w:u w:val="single"/>
            <w:rtl w:val="0"/>
          </w:rPr>
          <w:t xml:space="preserve">https://www.amac.org.cn/fwdt/wyc/jjpjcx/jjpjyw_jjpjiang/jjpj_shzqb/shzqb_xxpl/202004/P020231126391471614613.pdf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00" w:hanging="360"/>
      </w:pPr>
      <w:r w:rsidDel="00000000" w:rsidR="00000000" w:rsidRPr="00000000">
        <w:rPr>
          <w:rFonts w:ascii="Google Sans" w:cs="Google Sans" w:eastAsia="Google Sans" w:hAnsi="Google Sans"/>
          <w:sz w:val="24"/>
          <w:szCs w:val="24"/>
          <w:rtl w:val="0"/>
        </w:rPr>
        <w:t xml:space="preserve">超20家券商的量化工具“下沉”到散户，T0交易真能收益增强12 ..., accessed February 10, 2026, </w:t>
      </w:r>
      <w:hyperlink r:id="rId20">
        <w:r w:rsidDel="00000000" w:rsidR="00000000" w:rsidRPr="00000000">
          <w:rPr>
            <w:rFonts w:ascii="Google Sans" w:cs="Google Sans" w:eastAsia="Google Sans" w:hAnsi="Google Sans"/>
            <w:color w:val="0000ee"/>
            <w:sz w:val="24"/>
            <w:szCs w:val="24"/>
            <w:u w:val="single"/>
            <w:rtl w:val="0"/>
          </w:rPr>
          <w:t xml:space="preserve">https://m.jiemian.com/article/12835024.html</w:t>
        </w:r>
      </w:hyperlink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decimal"/>
      <w:lvlText w:val="%1."/>
      <w:lvlJc w:val="left"/>
      <w:pPr>
        <w:ind w:left="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m.jiemian.com/article/12835024.html" TargetMode="External"/><Relationship Id="rId11" Type="http://schemas.openxmlformats.org/officeDocument/2006/relationships/image" Target="media/image6.png"/><Relationship Id="rId10" Type="http://schemas.openxmlformats.org/officeDocument/2006/relationships/image" Target="media/image9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hyperlink" Target="http://docs.static.szse.cn/www/aboutus/research/secuities/daily/W020200818633845765180.pdf" TargetMode="External"/><Relationship Id="rId14" Type="http://schemas.openxmlformats.org/officeDocument/2006/relationships/image" Target="media/image5.png"/><Relationship Id="rId17" Type="http://schemas.openxmlformats.org/officeDocument/2006/relationships/hyperlink" Target="https://stock.finance.sina.com.cn/stock/view/paper.php?symbol=sh000001&amp;reportid=754867916740" TargetMode="External"/><Relationship Id="rId16" Type="http://schemas.openxmlformats.org/officeDocument/2006/relationships/hyperlink" Target="https://baike.kuaiji.com/v192912255.html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amac.org.cn/fwdt/wyc/jjpjcx/jjpjyw_jjpjiang/jjpj_shzqb/shzqb_xxpl/202004/P020231126391471614613.pdf" TargetMode="External"/><Relationship Id="rId6" Type="http://schemas.openxmlformats.org/officeDocument/2006/relationships/image" Target="media/image4.png"/><Relationship Id="rId18" Type="http://schemas.openxmlformats.org/officeDocument/2006/relationships/hyperlink" Target="https://finance.sina.com.cn/stock/stockzmt/2025-01-16/doc-inefcvrz6894088.shtml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