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2026年A股量化交易盈利策略与因子配置深度研究报告</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2026年量化投资市场环境综述</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在2025年中国权益市场经历显著修复并站稳4000点整数关口的宏观背景下，2026年的量化交易格局已从单纯的算法竞争演变为深度结合基本面、监管合规与宏观叙事的系统性工程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。截至2026年初，私募基金行业管理规模已攀升至22.15万亿元的历史新高，其中量化私募凭借其在波动市场中的超额收益获取能力，成为资金流入的核心领域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。2025年的业绩表现为当前的策略布局提供了重要的基准：百亿级量化私募在过去一年实现了37.61%的平均收益，且全部实现正收益，显著优于主观策略25.8%的平均水平 </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f1f1f"/>
          <w:rtl w:val="0"/>
        </w:rPr>
        <w:t xml:space="preserve">。这种显著的业绩差异促使市场资金结构发生深刻变化，大量个人存款及银行理财资金通过“存款搬家”效应，以私募增强产品、固收+等形式流入量化市场 </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当前A股市场的盈利基础正处于持续修复阶段。预计2025年全A非金融企业的盈利增速将维持在2.4%至5.5%的区间，这种盈利层面的稳健修复为2026年的量化策略提供了坚实的底层资产支撑 </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f1f1f"/>
          <w:rtl w:val="0"/>
        </w:rPr>
        <w:t xml:space="preserve">。尽管万得全A指数在2026年初的动态估值已达到23.0倍，但尚未触及2007年或2015年那样的极端泡沫化阶段，这意味着量化策略在结构性行情中仍具备充足的盈利空间 </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当前主流盈利策略分类及机制分析</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2026年的量化策略体系呈现出明显的“低频化”与“基本面化”特征。由于监管对高频交易的严格约束以及市场容量的扩张，超大体量的量化机构纷纷转向中低频的指数增强及量化多头策略 </w:t>
      </w:r>
      <w:r w:rsidDel="00000000" w:rsidR="00000000" w:rsidRPr="00000000">
        <w:rPr>
          <w:rFonts w:ascii="Google Sans Text" w:cs="Google Sans Text" w:eastAsia="Google Sans Text" w:hAnsi="Google Sans Text"/>
          <w:color w:val="444746"/>
          <w:sz w:val="24"/>
          <w:szCs w:val="24"/>
          <w:vertAlign w:val="superscript"/>
          <w:rtl w:val="0"/>
        </w:rPr>
        <w:t xml:space="preserve">6</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指数增强策略</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指数增强策略目前是百亿级量化私募的绝对主力产品。其核心逻辑在于通过对标的中证500、中证1000等基准指数进行选股和权重的系统性偏离，在获取指数贝塔（Beta）收益的同时，斩获超越指数的阿尔法（Alpha）收益 </w:t>
      </w:r>
      <w:r w:rsidDel="00000000" w:rsidR="00000000" w:rsidRPr="00000000">
        <w:rPr>
          <w:rFonts w:ascii="Google Sans Text" w:cs="Google Sans Text" w:eastAsia="Google Sans Text" w:hAnsi="Google Sans Text"/>
          <w:color w:val="444746"/>
          <w:sz w:val="24"/>
          <w:szCs w:val="24"/>
          <w:vertAlign w:val="superscript"/>
          <w:rtl w:val="0"/>
        </w:rPr>
        <w:t xml:space="preserve">6</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根据2025年的运行数据，不同类别的指数增强策略表现出明显的风格分化：</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策略类别</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2025年平均收益率</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核心对标指数</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风险收益特征</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中证1000指增</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49.85%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中证1000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高弹性、高波动、高超额</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全市场增强（空气指增）</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43.03%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无特定（全A）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灵活性极高、风格不受限</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中证500指增</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46.32%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中证500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风格稳健、中盘成长特征</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沪深300指增</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约35.20%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沪深300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低波、蓝筹溢价、收益稳健</w:t>
            </w:r>
          </w:p>
        </w:tc>
      </w:tr>
    </w:tbl>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中证1000指增策略的领跑反映出在流动性充裕且小盘股活跃的市场环境下，量化模型在小市值股票中的定价偏差捕捉能力最强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。相比之下，随着机构规模超过50亿甚至100亿，为了降低冲击成本，策略必然向中证500乃至沪深300指增迁移 </w:t>
      </w:r>
      <w:r w:rsidDel="00000000" w:rsidR="00000000" w:rsidRPr="00000000">
        <w:rPr>
          <w:rFonts w:ascii="Google Sans Text" w:cs="Google Sans Text" w:eastAsia="Google Sans Text" w:hAnsi="Google Sans Text"/>
          <w:color w:val="444746"/>
          <w:sz w:val="24"/>
          <w:szCs w:val="24"/>
          <w:vertAlign w:val="superscript"/>
          <w:rtl w:val="0"/>
        </w:rPr>
        <w:t xml:space="preserve">6</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量化股票多头（空气增强）策略</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量化股票多头策略（又称非约束性增强策略）在2025年录得了45.02%的平均收益率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此类策略不强制锚定某一特定指数，而是利用全市场选股模型构建最优组合。其盈利逻辑的核心在于“风格轮动”与“个股挖掘”的有机结合。在2026年的市场中，此类策略越来越多地融入了“景气型”筛选规则，即不仅考量传统的价量指标，更引入了盈利预期、行业景气度等深度基本面因子 </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量化CTA策略</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2025年量化CTA策略取得了21.75%的平均收益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。进入2026年，全球大宗商品市场进入“秩序新章”，地缘政治博弈、资源安全诉求以及新兴产业需求成为驱动商品价格波动的关键变量 </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f1f1f"/>
          <w:rtl w:val="0"/>
        </w:rPr>
        <w:t xml:space="preserve">。量化CTA策略通过在期货市场进行趋势追踪或跨品种套利，有效分散了权益市场的单边风险。尤其是在铜、铝、煤炭等战略资源品种上，量化策略通过捕获由全球供应链重构引起的长期趋势，实现了稳定的收益回报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股票市场中性策略</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受限于对冲成本（如股指期货深度贴水）以及波动率的下行，股票市场中性策略在2025年的平均表现相对平淡，收益率约为9.42%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该策略的逻辑是同时构建多头股票组合与空头股指期货头寸，旨在消除市场系统性风险，纯粹提取选股阿尔法。然而，由于监管全面暂停融券T+0交易以及对空头头寸的审慎管控，此类策略的盈利空间在2026年被进一步压缩，迫使部分机构转向“准中性”或“量化多空”策略 </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核心因子体系深度解析</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2026年量化因子的演进趋势是从“挖掘价格规律”转向“理解盈利逻辑”。以下是当前市场主流使用的因子类别及其作用机制。</w:t>
      </w:r>
    </w:p>
    <w:p w:rsidR="00000000" w:rsidDel="00000000" w:rsidP="00000000" w:rsidRDefault="00000000" w:rsidRPr="00000000" w14:paraId="0000002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景气型因子（Prosperity Factors）</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景气型因子是2026年量化选股的核心，旨在识别那些处于业绩爆发期或景气度上行通道的个股 </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。该因子体系通常由以下子因子等权或加权合成：</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一致预期3个月变化率因子</w:t>
      </w:r>
      <w:r w:rsidDel="00000000" w:rsidR="00000000" w:rsidRPr="00000000">
        <w:rPr>
          <w:rFonts w:ascii="Google Sans Text" w:cs="Google Sans Text" w:eastAsia="Google Sans Text" w:hAnsi="Google Sans Text"/>
          <w:color w:val="1f1f1f"/>
          <w:rtl w:val="0"/>
        </w:rPr>
        <w:t xml:space="preserve">：反映专业分析师对公司未来盈利预期的动态修正情况。3个月的窗口期能有效过滤短期噪音，捕捉真正的业绩拐点 </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报告期动量因子</w:t>
      </w:r>
      <w:r w:rsidDel="00000000" w:rsidR="00000000" w:rsidRPr="00000000">
        <w:rPr>
          <w:rFonts w:ascii="Google Sans Text" w:cs="Google Sans Text" w:eastAsia="Google Sans Text" w:hAnsi="Google Sans Text"/>
          <w:color w:val="1f1f1f"/>
          <w:rtl w:val="0"/>
        </w:rPr>
        <w:t xml:space="preserve">：通过分析财报发布前后的股价表现，识别市场对基本面超预期程度的共识 </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综合质量因子</w:t>
      </w:r>
      <w:r w:rsidDel="00000000" w:rsidR="00000000" w:rsidRPr="00000000">
        <w:rPr>
          <w:rFonts w:ascii="Google Sans Text" w:cs="Google Sans Text" w:eastAsia="Google Sans Text" w:hAnsi="Google Sans Text"/>
          <w:color w:val="1f1f1f"/>
          <w:rtl w:val="0"/>
        </w:rPr>
        <w:t xml:space="preserve">：涵盖ROE、毛利率稳定性、现金流状况等指标，确保选出的个股具备真实的盈利支撑而非单纯的投机 </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根据中金公司的研究，当这些因子的综合得分超过一定阈值（如1.5分以上），并结合5%以上的发行折扣率时，相关策略在2025年实现了高达36.3%的平均收益 </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传统风格因子与Alpha溢价</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尽管基本面因子日益重要，传统的量化风格因子在A股市场依然贡献了稳定的超额收益。</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因子类别</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因子定义及公式示例</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2026年表现逻辑</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规模因子 (Size)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Pr>
              <w:drawing>
                <wp:inline distB="19050" distT="19050" distL="19050" distR="19050">
                  <wp:extent cx="1126703" cy="210063"/>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126703" cy="210063"/>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小市值溢价依然存在，但波动率显著增加</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估值因子 (Value)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Pr>
              <w:drawing>
                <wp:inline distB="19050" distT="19050" distL="19050" distR="19050">
                  <wp:extent cx="1130941" cy="209082"/>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30941" cy="209082"/>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在“反内卷”政策指导下，低估值龙头盈利修复潜力大</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波动率因子 (Volatility)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Pr>
              <w:drawing>
                <wp:inline distB="19050" distT="19050" distL="19050" distR="19050">
                  <wp:extent cx="1042835" cy="21048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042835" cy="21048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高波动率个股受监管影响，低波因子表现稳健</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流动性因子 (Liquidity)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Pr>
              <w:drawing>
                <wp:inline distB="19050" distT="19050" distL="19050" distR="19050">
                  <wp:extent cx="1099242" cy="21029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099242" cy="21029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关注日内流动性溢价，避免在拥挤度高的标的中博弈</w:t>
            </w:r>
          </w:p>
        </w:tc>
      </w:tr>
    </w:tbl>
    <w:p w:rsidR="00000000" w:rsidDel="00000000" w:rsidP="00000000" w:rsidRDefault="00000000" w:rsidRPr="00000000" w14:paraId="0000003E">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机器学习与另类因子</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随着计算能力的提升，深度学习模型（如Transformer、GNN）被广泛用于挖掘非线性因子。例如，通过对新闻资讯、研报文本进行自然语言处理（NLP），生成的“情绪因子”能先于股价反映市场心理波动 </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。此外，基于高频订单流数据的“微观结构因子”虽然在受到交易频率限制的情况下效果有所减弱，但在中低频选股模型中仍被用作过滤信号，以降低执行层面的滑点损失 </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在具体的因子处理上，TnT（Trigrams'n'Tags）等统计模型也被跨领域引入。虽然TnT最初用于词性标注，但其处理“未知状态”（Unknown items）的逻辑——即利用后缀分析和线性插值平滑处理稀疏数据——已被一些领先的量化团队借鉴，用于解决新股或重大政策调整后的数据缺失问题 </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策略交易标的与行业布局方向</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量化策略的交易标的选择不再局限于全市场的盲目扫描，而是越来越聚焦于符合国家产业政策主线和全球科技趋势的特定领域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科技创新与AI产业链</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2026年，AI技术的商业化落地进入爆发期。量化策略在这一领域的配置逻辑是捕捉“从硬件到软件”的传导效应：</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AI硬件端</w:t>
      </w:r>
      <w:r w:rsidDel="00000000" w:rsidR="00000000" w:rsidRPr="00000000">
        <w:rPr>
          <w:rFonts w:ascii="Google Sans Text" w:cs="Google Sans Text" w:eastAsia="Google Sans Text" w:hAnsi="Google Sans Text"/>
          <w:color w:val="1f1f1f"/>
          <w:rtl w:val="0"/>
        </w:rPr>
        <w:t xml:space="preserve">：半导体国产替代、人工智能服务器及其核心零部件、先进封装工艺等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具身智能</w:t>
      </w:r>
      <w:r w:rsidDel="00000000" w:rsidR="00000000" w:rsidRPr="00000000">
        <w:rPr>
          <w:rFonts w:ascii="Google Sans Text" w:cs="Google Sans Text" w:eastAsia="Google Sans Text" w:hAnsi="Google Sans Text"/>
          <w:color w:val="1f1f1f"/>
          <w:rtl w:val="0"/>
        </w:rPr>
        <w:t xml:space="preserve">：人形机器人核心供应链（如传感器、执行器、滚珠丝杠），以及AI4S（AI for Science）驱动的研发密集型企业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算力基础设施</w:t>
      </w:r>
      <w:r w:rsidDel="00000000" w:rsidR="00000000" w:rsidRPr="00000000">
        <w:rPr>
          <w:rFonts w:ascii="Google Sans Text" w:cs="Google Sans Text" w:eastAsia="Google Sans Text" w:hAnsi="Google Sans Text"/>
          <w:color w:val="1f1f1f"/>
          <w:rtl w:val="0"/>
        </w:rPr>
        <w:t xml:space="preserve">：液冷技术、绿色算力中心相关标的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8">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优势制造业出海</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在全球供应链深度重构的背景下，中国具备全球竞争力的优势制造业成为量化模型重点覆盖的对象。其配置逻辑基于“外循环”新模式的开启，即中国企业通过技术与供应链优势在海外市场获取更高利润率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。主要交易标的包括：</w:t>
      </w:r>
    </w:p>
    <w:p w:rsidR="00000000" w:rsidDel="00000000" w:rsidP="00000000" w:rsidRDefault="00000000" w:rsidRPr="00000000" w14:paraId="0000004A">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工程机械</w:t>
      </w:r>
      <w:r w:rsidDel="00000000" w:rsidR="00000000" w:rsidRPr="00000000">
        <w:rPr>
          <w:rFonts w:ascii="Google Sans Text" w:cs="Google Sans Text" w:eastAsia="Google Sans Text" w:hAnsi="Google Sans Text"/>
          <w:color w:val="1f1f1f"/>
          <w:rtl w:val="0"/>
        </w:rPr>
        <w:t xml:space="preserve">：具备全球服务网络和技术壁垒的重型机械龙头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汽车零部件</w:t>
      </w:r>
      <w:r w:rsidDel="00000000" w:rsidR="00000000" w:rsidRPr="00000000">
        <w:rPr>
          <w:rFonts w:ascii="Google Sans Text" w:cs="Google Sans Text" w:eastAsia="Google Sans Text" w:hAnsi="Google Sans Text"/>
          <w:color w:val="1f1f1f"/>
          <w:rtl w:val="0"/>
        </w:rPr>
        <w:t xml:space="preserve">：尤其是与新能源汽车相关的核心组件，如汽车玻璃、动力电池系统等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C">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电力设备</w:t>
      </w:r>
      <w:r w:rsidDel="00000000" w:rsidR="00000000" w:rsidRPr="00000000">
        <w:rPr>
          <w:rFonts w:ascii="Google Sans Text" w:cs="Google Sans Text" w:eastAsia="Google Sans Text" w:hAnsi="Google Sans Text"/>
          <w:color w:val="1f1f1f"/>
          <w:rtl w:val="0"/>
        </w:rPr>
        <w:t xml:space="preserve">：受益于全球电网升级改造需求的变压器、特高压设备及储能系统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D">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战略资源与能源</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面对地缘政治博弈，资源安全诉求提升了相关行业的长期估值中枢。量化策略通过行业轮动模型，重点关注以下板块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F">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工业金属</w:t>
      </w:r>
      <w:r w:rsidDel="00000000" w:rsidR="00000000" w:rsidRPr="00000000">
        <w:rPr>
          <w:rFonts w:ascii="Google Sans Text" w:cs="Google Sans Text" w:eastAsia="Google Sans Text" w:hAnsi="Google Sans Text"/>
          <w:color w:val="1f1f1f"/>
          <w:rtl w:val="0"/>
        </w:rPr>
        <w:t xml:space="preserve">：铜、铝等处于全球定价体系且存在供给约束的品种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0">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能源原材料</w:t>
      </w:r>
      <w:r w:rsidDel="00000000" w:rsidR="00000000" w:rsidRPr="00000000">
        <w:rPr>
          <w:rFonts w:ascii="Google Sans Text" w:cs="Google Sans Text" w:eastAsia="Google Sans Text" w:hAnsi="Google Sans Text"/>
          <w:color w:val="1f1f1f"/>
          <w:rtl w:val="0"/>
        </w:rPr>
        <w:t xml:space="preserve">：煤炭及相关能源化工标的。</w:t>
      </w:r>
    </w:p>
    <w:p w:rsidR="00000000" w:rsidDel="00000000" w:rsidP="00000000" w:rsidRDefault="00000000" w:rsidRPr="00000000" w14:paraId="00000051">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新消费与服务</w:t>
      </w:r>
      <w:r w:rsidDel="00000000" w:rsidR="00000000" w:rsidRPr="00000000">
        <w:rPr>
          <w:rFonts w:ascii="Google Sans Text" w:cs="Google Sans Text" w:eastAsia="Google Sans Text" w:hAnsi="Google Sans Text"/>
          <w:color w:val="1f1f1f"/>
          <w:rtl w:val="0"/>
        </w:rPr>
        <w:t xml:space="preserve">：契合全球年轻群体情绪价值的消费品牌，以及服务与体验型消费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2">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监管政策对量化策略的约束与重塑</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2025年至2026年，A股量化监管框架趋于完善，这对量化盈利模式产生了颠覆性影响。</w:t>
      </w:r>
    </w:p>
    <w:p w:rsidR="00000000" w:rsidDel="00000000" w:rsidP="00000000" w:rsidRDefault="00000000" w:rsidRPr="00000000" w14:paraId="0000005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高频交易的严格定义与收费限制</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监管机构明确了高频交易的认定标准：单账户每秒申报或撤单≥300笔，或单日申报/撤单≥2万笔 </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f1f1f"/>
          <w:rtl w:val="0"/>
        </w:rPr>
        <w:t xml:space="preserve">。这一红线的划定直接导致了以下变化：</w:t>
      </w:r>
    </w:p>
    <w:p w:rsidR="00000000" w:rsidDel="00000000" w:rsidP="00000000" w:rsidRDefault="00000000" w:rsidRPr="00000000" w14:paraId="00000056">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策略降频</w:t>
      </w:r>
      <w:r w:rsidDel="00000000" w:rsidR="00000000" w:rsidRPr="00000000">
        <w:rPr>
          <w:rFonts w:ascii="Google Sans Text" w:cs="Google Sans Text" w:eastAsia="Google Sans Text" w:hAnsi="Google Sans Text"/>
          <w:color w:val="1f1f1f"/>
          <w:rtl w:val="0"/>
        </w:rPr>
        <w:t xml:space="preserve">：绝大多数百亿级私募已不考虑日内回转交易（T+0），转而研究持有期在3-5天甚至更长的中频信号 </w:t>
      </w:r>
      <w:r w:rsidDel="00000000" w:rsidR="00000000" w:rsidRPr="00000000">
        <w:rPr>
          <w:rFonts w:ascii="Google Sans Text" w:cs="Google Sans Text" w:eastAsia="Google Sans Text" w:hAnsi="Google Sans Text"/>
          <w:color w:val="444746"/>
          <w:sz w:val="24"/>
          <w:szCs w:val="24"/>
          <w:vertAlign w:val="superscript"/>
          <w:rtl w:val="0"/>
        </w:rPr>
        <w:t xml:space="preserve">6</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7">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差异化收费</w:t>
      </w:r>
      <w:r w:rsidDel="00000000" w:rsidR="00000000" w:rsidRPr="00000000">
        <w:rPr>
          <w:rFonts w:ascii="Google Sans Text" w:cs="Google Sans Text" w:eastAsia="Google Sans Text" w:hAnsi="Google Sans Text"/>
          <w:color w:val="1f1f1f"/>
          <w:rtl w:val="0"/>
        </w:rPr>
        <w:t xml:space="preserve">：针对高频申报账户提高流量费和撤单费，这显著增加了小容量、极速博弈策略的运营成本，促使行业向容量更大的选股策略集中 </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8">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融券与公平性约束</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全面暂停融券T+0交易以及禁止当日卖出、次日还券的操作，旨在维护市场公平性，防止利用信息和工具优势进行日内套利 </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f1f1f"/>
          <w:rtl w:val="0"/>
        </w:rPr>
        <w:t xml:space="preserve">。这使得原本依赖“融券打底”的量化对冲产品被迫调整策略，更多采用股指期货或衍生品工具进行对冲。</w:t>
      </w:r>
    </w:p>
    <w:p w:rsidR="00000000" w:rsidDel="00000000" w:rsidP="00000000" w:rsidRDefault="00000000" w:rsidRPr="00000000" w14:paraId="0000005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宏观风险与未来展望</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展望2026年余下时间，量化策略的盈利持续性受到多重宏观因素的制约。</w:t>
      </w:r>
    </w:p>
    <w:p w:rsidR="00000000" w:rsidDel="00000000" w:rsidP="00000000" w:rsidRDefault="00000000" w:rsidRPr="00000000" w14:paraId="0000005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宏观变量的敏感性分析</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量化模型在2026年需要特别关注美国宏观环境的变局。预计美联储将在2026年累计降息约50个基点，将联邦基金利率降至3%-3.25%区间 </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f1f1f"/>
          <w:rtl w:val="0"/>
        </w:rPr>
        <w:t xml:space="preserve">。虽然降息通常利好风险资产，但通胀的顽固性以及美国可能实施的关税上调政策，可能导致全球贸易格局的再度紧张，从而引发输入性通胀压力 </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f1f1f"/>
          <w:rtl w:val="0"/>
        </w:rPr>
        <w:t xml:space="preserve">。量化策略在构建组合时，必须通过加入“宏观风险因子”来增强对这些外部冲击的抵御能力。</w:t>
      </w:r>
    </w:p>
    <w:p w:rsidR="00000000" w:rsidDel="00000000" w:rsidP="00000000" w:rsidRDefault="00000000" w:rsidRPr="00000000" w14:paraId="0000005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资金流向与市场流动性</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“存款搬家”仍是支持量化市场扩张的核心逻辑。2026年居民资产配置呈现出明显的“产品资管化”特征，额外新增的2-4万亿元活化资金将为量化私募提供源源不断的流动性增量 </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。这种流动性不仅推高了市场整体中枢，也为量化策略提供了更丰富的博弈对手方。</w:t>
      </w:r>
    </w:p>
    <w:p w:rsidR="00000000" w:rsidDel="00000000" w:rsidP="00000000" w:rsidRDefault="00000000" w:rsidRPr="00000000" w14:paraId="0000006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盈利修复的弹性</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2026年A股盈利修复的弹性大小，将取决于科技产业趋势的业绩转化以及“反内卷”工作的推进程度 </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f1f1f"/>
          <w:rtl w:val="0"/>
        </w:rPr>
        <w:t xml:space="preserve">。如果企业盈利能力能够如预期般持续改善，量化选股策略中的“基本面动量”因子将继续发挥显著效力，带动整个量化投资行业在2025年的高基数基础上继续实现超越市场的稳健收益。</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综上所述，2026年A股量化交易已进入一个“重基本面、轻交易频率、深挖行业主线”的新阶段。盈利策略的核心在于顺应监管导向，利用“景气型”因子在科技、制造及资源等高潜力行业中挖掘结构性机会，同时通过指数增强等长线工具捕捉中国资本市场长期上行的制度红利。</w:t>
      </w:r>
    </w:p>
    <w:p w:rsidR="00000000" w:rsidDel="00000000" w:rsidP="00000000" w:rsidRDefault="00000000" w:rsidRPr="00000000" w14:paraId="00000063">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6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2025年私募业绩出炉： 股票策略平均赚超37% 量化跑赢主观中国基金报, accessed February 10, 2026, </w:t>
      </w:r>
      <w:hyperlink r:id="rId10">
        <w:r w:rsidDel="00000000" w:rsidR="00000000" w:rsidRPr="00000000">
          <w:rPr>
            <w:rFonts w:ascii="Google Sans" w:cs="Google Sans" w:eastAsia="Google Sans" w:hAnsi="Google Sans"/>
            <w:color w:val="0000ee"/>
            <w:sz w:val="24"/>
            <w:szCs w:val="24"/>
            <w:u w:val="single"/>
            <w:rtl w:val="0"/>
          </w:rPr>
          <w:t xml:space="preserve">https://www.chnfund.com/article/AR20260103092007853</w:t>
        </w:r>
      </w:hyperlink>
      <w:r w:rsidDel="00000000" w:rsidR="00000000" w:rsidRPr="00000000">
        <w:rPr>
          <w:rtl w:val="0"/>
        </w:rPr>
      </w:r>
    </w:p>
    <w:p w:rsidR="00000000" w:rsidDel="00000000" w:rsidP="00000000" w:rsidRDefault="00000000" w:rsidRPr="00000000" w14:paraId="0000006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量化领跑主观分化百亿级私募2025年平均收益32.77% - 东方财富, accessed February 10, 2026, </w:t>
      </w:r>
      <w:hyperlink r:id="rId11">
        <w:r w:rsidDel="00000000" w:rsidR="00000000" w:rsidRPr="00000000">
          <w:rPr>
            <w:rFonts w:ascii="Google Sans" w:cs="Google Sans" w:eastAsia="Google Sans" w:hAnsi="Google Sans"/>
            <w:color w:val="0000ee"/>
            <w:sz w:val="24"/>
            <w:szCs w:val="24"/>
            <w:u w:val="single"/>
            <w:rtl w:val="0"/>
          </w:rPr>
          <w:t xml:space="preserve">https://finance.eastmoney.com/a/202601193622726286.html</w:t>
        </w:r>
      </w:hyperlink>
      <w:r w:rsidDel="00000000" w:rsidR="00000000" w:rsidRPr="00000000">
        <w:rPr>
          <w:rtl w:val="0"/>
        </w:rPr>
      </w:r>
    </w:p>
    <w:p w:rsidR="00000000" w:rsidDel="00000000" w:rsidP="00000000" w:rsidRDefault="00000000" w:rsidRPr="00000000" w14:paraId="0000006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百亿级私募2025年度业绩出炉量化大厂平均赚超37% - 上海证券报, accessed February 10, 2026, </w:t>
      </w:r>
      <w:hyperlink r:id="rId12">
        <w:r w:rsidDel="00000000" w:rsidR="00000000" w:rsidRPr="00000000">
          <w:rPr>
            <w:rFonts w:ascii="Google Sans" w:cs="Google Sans" w:eastAsia="Google Sans" w:hAnsi="Google Sans"/>
            <w:color w:val="0000ee"/>
            <w:sz w:val="24"/>
            <w:szCs w:val="24"/>
            <w:u w:val="single"/>
            <w:rtl w:val="0"/>
          </w:rPr>
          <w:t xml:space="preserve">https://www.cnstock.com/commonDetail/618251</w:t>
        </w:r>
      </w:hyperlink>
      <w:r w:rsidDel="00000000" w:rsidR="00000000" w:rsidRPr="00000000">
        <w:rPr>
          <w:rtl w:val="0"/>
        </w:rPr>
      </w:r>
    </w:p>
    <w:p w:rsidR="00000000" w:rsidDel="00000000" w:rsidP="00000000" w:rsidRDefault="00000000" w:rsidRPr="00000000" w14:paraId="00000067">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研报精选 - 中国国际金融股份有限公司, accessed February 10, 2026, </w:t>
      </w:r>
      <w:hyperlink r:id="rId13">
        <w:r w:rsidDel="00000000" w:rsidR="00000000" w:rsidRPr="00000000">
          <w:rPr>
            <w:rFonts w:ascii="Google Sans" w:cs="Google Sans" w:eastAsia="Google Sans" w:hAnsi="Google Sans"/>
            <w:color w:val="0000ee"/>
            <w:sz w:val="24"/>
            <w:szCs w:val="24"/>
            <w:u w:val="single"/>
            <w:rtl w:val="0"/>
          </w:rPr>
          <w:t xml:space="preserve">https://www.cicc.com/upload/file/2026/01/12/ab6f2cee-3c08-43ee-a69f-ccc04788dd6a.pdf</w:t>
        </w:r>
      </w:hyperlink>
      <w:r w:rsidDel="00000000" w:rsidR="00000000" w:rsidRPr="00000000">
        <w:rPr>
          <w:rtl w:val="0"/>
        </w:rPr>
      </w:r>
    </w:p>
    <w:p w:rsidR="00000000" w:rsidDel="00000000" w:rsidP="00000000" w:rsidRDefault="00000000" w:rsidRPr="00000000" w14:paraId="00000068">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2026 年度策略报告, accessed February 10, 2026, </w:t>
      </w:r>
      <w:hyperlink r:id="rId14">
        <w:r w:rsidDel="00000000" w:rsidR="00000000" w:rsidRPr="00000000">
          <w:rPr>
            <w:rFonts w:ascii="Google Sans" w:cs="Google Sans" w:eastAsia="Google Sans" w:hAnsi="Google Sans"/>
            <w:color w:val="0000ee"/>
            <w:sz w:val="24"/>
            <w:szCs w:val="24"/>
            <w:u w:val="single"/>
            <w:rtl w:val="0"/>
          </w:rPr>
          <w:t xml:space="preserve">https://pdf.dfcfw.com/pdf/H3_AP202601141817009932_1.pdf?1768401837000.pdf</w:t>
        </w:r>
      </w:hyperlink>
      <w:r w:rsidDel="00000000" w:rsidR="00000000" w:rsidRPr="00000000">
        <w:rPr>
          <w:rtl w:val="0"/>
        </w:rPr>
      </w:r>
    </w:p>
    <w:p w:rsidR="00000000" w:rsidDel="00000000" w:rsidP="00000000" w:rsidRDefault="00000000" w:rsidRPr="00000000" w14:paraId="0000006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直面量化交易：占比究竟多少？会否导致趋同交易？机构为何降频封盘？机构人士这么说 - 财联社, accessed February 10, 2026, </w:t>
      </w:r>
      <w:hyperlink r:id="rId15">
        <w:r w:rsidDel="00000000" w:rsidR="00000000" w:rsidRPr="00000000">
          <w:rPr>
            <w:rFonts w:ascii="Google Sans" w:cs="Google Sans" w:eastAsia="Google Sans" w:hAnsi="Google Sans"/>
            <w:color w:val="0000ee"/>
            <w:sz w:val="24"/>
            <w:szCs w:val="24"/>
            <w:u w:val="single"/>
            <w:rtl w:val="0"/>
          </w:rPr>
          <w:t xml:space="preserve">https://www.cls.cn/detail/846782</w:t>
        </w:r>
      </w:hyperlink>
      <w:r w:rsidDel="00000000" w:rsidR="00000000" w:rsidRPr="00000000">
        <w:rPr>
          <w:rtl w:val="0"/>
        </w:rPr>
      </w:r>
    </w:p>
    <w:p w:rsidR="00000000" w:rsidDel="00000000" w:rsidP="00000000" w:rsidRDefault="00000000" w:rsidRPr="00000000" w14:paraId="0000006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中金2026年展望| 再融资：量质齐升，春风可期 - 新浪财经, accessed February 10, 2026, </w:t>
      </w:r>
      <w:hyperlink r:id="rId16">
        <w:r w:rsidDel="00000000" w:rsidR="00000000" w:rsidRPr="00000000">
          <w:rPr>
            <w:rFonts w:ascii="Google Sans" w:cs="Google Sans" w:eastAsia="Google Sans" w:hAnsi="Google Sans"/>
            <w:color w:val="0000ee"/>
            <w:sz w:val="24"/>
            <w:szCs w:val="24"/>
            <w:u w:val="single"/>
            <w:rtl w:val="0"/>
          </w:rPr>
          <w:t xml:space="preserve">https://finance.sina.com.cn/stock/stockzmt/2026-01-08/doc-inhfpwuv5555081.shtml</w:t>
        </w:r>
      </w:hyperlink>
      <w:r w:rsidDel="00000000" w:rsidR="00000000" w:rsidRPr="00000000">
        <w:rPr>
          <w:rtl w:val="0"/>
        </w:rPr>
      </w:r>
    </w:p>
    <w:p w:rsidR="00000000" w:rsidDel="00000000" w:rsidP="00000000" w:rsidRDefault="00000000" w:rsidRPr="00000000" w14:paraId="0000006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研报精选 - 中金, accessed February 10, 2026, </w:t>
      </w:r>
      <w:hyperlink r:id="rId17">
        <w:r w:rsidDel="00000000" w:rsidR="00000000" w:rsidRPr="00000000">
          <w:rPr>
            <w:rFonts w:ascii="Google Sans" w:cs="Google Sans" w:eastAsia="Google Sans" w:hAnsi="Google Sans"/>
            <w:color w:val="0000ee"/>
            <w:sz w:val="24"/>
            <w:szCs w:val="24"/>
            <w:u w:val="single"/>
            <w:rtl w:val="0"/>
          </w:rPr>
          <w:t xml:space="preserve">https://www.cicc.com/upload/file/2025/11/11/9a26f9ab-6f02-4b7c-9281-c7ed61bd42f5.pdf</w:t>
        </w:r>
      </w:hyperlink>
      <w:r w:rsidDel="00000000" w:rsidR="00000000" w:rsidRPr="00000000">
        <w:rPr>
          <w:rtl w:val="0"/>
        </w:rPr>
      </w:r>
    </w:p>
    <w:p w:rsidR="00000000" w:rsidDel="00000000" w:rsidP="00000000" w:rsidRDefault="00000000" w:rsidRPr="00000000" w14:paraId="0000006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量化交易新规落地高频交易戴上“紧箍咒” - 证券时报, accessed February 10, 2026, </w:t>
      </w:r>
      <w:hyperlink r:id="rId18">
        <w:r w:rsidDel="00000000" w:rsidR="00000000" w:rsidRPr="00000000">
          <w:rPr>
            <w:rFonts w:ascii="Google Sans" w:cs="Google Sans" w:eastAsia="Google Sans" w:hAnsi="Google Sans"/>
            <w:color w:val="0000ee"/>
            <w:sz w:val="24"/>
            <w:szCs w:val="24"/>
            <w:u w:val="single"/>
            <w:rtl w:val="0"/>
          </w:rPr>
          <w:t xml:space="preserve">https://www.stcn.com/article/detail/2450321.html</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finance.eastmoney.com/a/202601193622726286.html" TargetMode="External"/><Relationship Id="rId10" Type="http://schemas.openxmlformats.org/officeDocument/2006/relationships/hyperlink" Target="https://www.chnfund.com/article/AR20260103092007853" TargetMode="External"/><Relationship Id="rId13" Type="http://schemas.openxmlformats.org/officeDocument/2006/relationships/hyperlink" Target="https://www.cicc.com/upload/file/2026/01/12/ab6f2cee-3c08-43ee-a69f-ccc04788dd6a.pdf" TargetMode="External"/><Relationship Id="rId12" Type="http://schemas.openxmlformats.org/officeDocument/2006/relationships/hyperlink" Target="https://www.cnstock.com/commonDetail/61825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cls.cn/detail/846782" TargetMode="External"/><Relationship Id="rId14" Type="http://schemas.openxmlformats.org/officeDocument/2006/relationships/hyperlink" Target="https://pdf.dfcfw.com/pdf/H3_AP202601141817009932_1.pdf?1768401837000.pdf" TargetMode="External"/><Relationship Id="rId17" Type="http://schemas.openxmlformats.org/officeDocument/2006/relationships/hyperlink" Target="https://www.cicc.com/upload/file/2025/11/11/9a26f9ab-6f02-4b7c-9281-c7ed61bd42f5.pdf" TargetMode="External"/><Relationship Id="rId16" Type="http://schemas.openxmlformats.org/officeDocument/2006/relationships/hyperlink" Target="https://finance.sina.com.cn/stock/stockzmt/2026-01-08/doc-inhfpwuv5555081.shtml" TargetMode="External"/><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hyperlink" Target="https://www.stcn.com/article/detail/2450321.html" TargetMode="Externa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