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中国A股市场量化交易十年深度研究报告（2016-2026）：策略演变、绩效归因与监管重塑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摘要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报告旨在全面剖析中国A股市场量化交易在过去十年（2016-2026）的演进历程、核心策略逻辑、绩效表现及监管环境的剧变。作为全球最具活力且微观结构最为独特的市场之一，A股为量化策略提供了肥沃的土壤，也见证了从简单的多因子模型向深度学习与高频博弈的复杂进化。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分析显示，过去十年间，中国量化行业经历了从“蛮荒套利”到“黄金时代”，再到“规模瓶颈”与“合规重塑”的完整周期。2024-2025年的监管新规成为行业分水岭，标志着依靠超高频交易（HFT）和纯粹微观结构博弈的时代终结，行业转向以基本面量化、中低频策略及人工智能（AI）深度赋能为特征的高质量发展阶段。数据表明，尽管经历了2024年初的剧烈波动，2025年量化指增策略仍实现了45.08%的平均年度收益率，显示出该资产类别在A股高波动环境下的强大生命力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本报告将深入探讨指数增强、市场中性、CTA及T+0等核心策略的盈利根源，解析夏普比率（Sharpe Ratio）在不同市场阶段的异变，并基于2025年最新的监管细则，对未来的竞争格局进行展望。</w:t>
      </w:r>
    </w:p>
    <w:p w:rsidR="00000000" w:rsidDel="00000000" w:rsidP="00000000" w:rsidRDefault="00000000" w:rsidRPr="00000000" w14:paraId="0000000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宏观背景与A股市场微观结构特征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要理解中国量化交易的超额收益（Alpha）来源，首先必须理解A股市场独特的微观结构。与成熟的欧美市场不同，A股市场的参与者结构、交易制度及流动性特征，共同构成了量化策略赖以生存的底层物理环境。</w:t>
      </w:r>
    </w:p>
    <w:p w:rsidR="00000000" w:rsidDel="00000000" w:rsidP="00000000" w:rsidRDefault="00000000" w:rsidRPr="00000000" w14:paraId="0000000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1.1 散户主导的投资者结构与非理性波动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A股市场长期以来呈现显著的“散户化”特征。尽管机构投资者占比逐年提升，但在交易量（Turnover）层面，个人投资者依然贡献了极高比例。散户交易通常具有显著的非理性特征，包括：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羊群效应（Herding Effect）：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追涨杀跌，导致热门板块估值迅速泡沫化，而冷门板块过度低估。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处置效应（Disposition Effect）：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倾向于过早卖出盈利股票（落袋为安），而死守亏损股票。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过度反应与反应不足：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对显著新闻过度反应，而对复杂的财务报表信息反应不足。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这种行为偏差为量化模型提供了丰富的Alpha来源。量化策略本质上是在系统性地剥削市场中的错误定价。当散户因恐慌而抛售时，量化算法提供流动性并捕获价差；当散户狂热追逐题材时，量化模型利用动量反转因子进行套利。A股极高的换手率也保证了量化策略（尤其是中高频策略）能够以较低的冲击成本执行大量交易。</w:t>
      </w:r>
    </w:p>
    <w:p w:rsidR="00000000" w:rsidDel="00000000" w:rsidP="00000000" w:rsidRDefault="00000000" w:rsidRPr="00000000" w14:paraId="0000000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1.2 独特的交易制度约束：T+1与涨跌停板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A股实行的T+1交易制度（当日买入的股票次日才能卖出）和涨跌停板制度（通常为±10%，科创板/创业板为±20%），在理论上限制了高频交易的开展，但在实践中催生了独特的“中国式量化”创新。</w:t>
      </w:r>
    </w:p>
    <w:p w:rsidR="00000000" w:rsidDel="00000000" w:rsidP="00000000" w:rsidRDefault="00000000" w:rsidRPr="00000000" w14:paraId="00000010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T+0策略的本土化演变：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由于无法直接进行日内回转交易，中国量化机构发展出了“底仓T+0”模式。即持有一定数量的股票底仓（昨仓），在日内利用底仓先卖后买（或先买后卖），变相实现T+0交易。这种策略极度依赖底仓券源的丰富度和算法的预测精度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11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涨跌停板的流动性断裂：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涨跌停板制度会导致价格发现过程的突然中断，形成流动性真空。早期的“打板策略”利用这种机制，通过资金优势封死涨停板，利用次日的溢价获利。虽然这种纯游资手法不属于严格意义上的量化，但现代量化模型已将“封板率”、“炸板率”等作为重要因子纳入模型。</w:t>
      </w:r>
    </w:p>
    <w:p w:rsidR="00000000" w:rsidDel="00000000" w:rsidP="00000000" w:rsidRDefault="00000000" w:rsidRPr="00000000" w14:paraId="0000001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1.3 衍生品工具的二元结构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中国市场的对冲工具相对稀缺，主要依赖股指期货（IF-沪深300，IC-中证500，IM-中证1000）和少量的融券资源。</w:t>
      </w:r>
    </w:p>
    <w:p w:rsidR="00000000" w:rsidDel="00000000" w:rsidP="00000000" w:rsidRDefault="00000000" w:rsidRPr="00000000" w14:paraId="00000014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基差（Basis）的长期贴水：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由于A股长期缺乏做空机制，且量化指增产品（多头）规模庞大，导致股指期货长期处于贴水状态（期货价格低于现货价格）。这种贴水对于市场中性策略而言是巨大的成本（对冲端不断低卖高买），但对于指增策略而言则是额外的安全垫。</w:t>
      </w:r>
    </w:p>
    <w:p w:rsidR="00000000" w:rsidDel="00000000" w:rsidP="00000000" w:rsidRDefault="00000000" w:rsidRPr="00000000" w14:paraId="00000015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融券的稀缺性：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融券券源主要集中在大型券商和头部机构手中，这导致了策略执行的不公平性。拥有券源优势的机构可以实施多空策略，而缺乏券源的机构只能做多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1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中国A股量化交易十年演变史 (2016-2026)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中国量化行业的发展并非线性上升，而是呈现出明显的周期性，每个周期都由市场行情、技术迭代和监管政策共同驱动。</w:t>
      </w:r>
    </w:p>
    <w:p w:rsidR="00000000" w:rsidDel="00000000" w:rsidP="00000000" w:rsidRDefault="00000000" w:rsidRPr="00000000" w14:paraId="0000001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2.1 第一阶段：蛮荒与复苏期（2016-2018）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关键词：灾后重建、因子挖掘、Smart Beta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2015年的股市异常波动及随后的救市措施，使得股指期货受到严格限制（如提高保证金、限制开仓手数）。这一时期，传统的Alpha对冲策略因对冲成本过高（期指深度贴水）而难以运行。</w:t>
      </w:r>
    </w:p>
    <w:p w:rsidR="00000000" w:rsidDel="00000000" w:rsidP="00000000" w:rsidRDefault="00000000" w:rsidRPr="00000000" w14:paraId="0000001B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策略特征：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市场处于休养生息阶段。量化机构主要依赖多因子选股模型（Multi-factor Model），侧重于基本面因子（价值、成长、盈利质量）。Barra风格因子在此时期开始被广泛研究。</w:t>
      </w:r>
    </w:p>
    <w:p w:rsidR="00000000" w:rsidDel="00000000" w:rsidP="00000000" w:rsidRDefault="00000000" w:rsidRPr="00000000" w14:paraId="0000001C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市场风格：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2017年的“漂亮50”行情（大盘蓝筹股牛市）对当时主流的小盘股量化模型造成了巨大回撤。这是中国量化行业第一次深刻认识到“风格敞口”（Style Exposure）控制的重要性。</w:t>
      </w:r>
    </w:p>
    <w:p w:rsidR="00000000" w:rsidDel="00000000" w:rsidP="00000000" w:rsidRDefault="00000000" w:rsidRPr="00000000" w14:paraId="0000001D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盈利逻辑：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依靠挖掘市场被忽视的基本面数据，通过持有低估值、高成长的股票获取超额收益。</w:t>
      </w:r>
    </w:p>
    <w:p w:rsidR="00000000" w:rsidDel="00000000" w:rsidP="00000000" w:rsidRDefault="00000000" w:rsidRPr="00000000" w14:paraId="000000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2.2 第二阶段：黄金爆发期（2019-2021）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关键词：量价因子、高频交易、指增统治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随着股指期货交易限制的逐步松绑，以及外资（北向资金）的持续流入，A股迎来了流动性的盛宴。这一时期是量化投资的“黄金时代”，头部量化私募规模迅速突破百亿甚至千亿大关。</w:t>
      </w:r>
    </w:p>
    <w:p w:rsidR="00000000" w:rsidDel="00000000" w:rsidP="00000000" w:rsidRDefault="00000000" w:rsidRPr="00000000" w14:paraId="00000021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策略特征：</w:t>
      </w:r>
    </w:p>
    <w:p w:rsidR="00000000" w:rsidDel="00000000" w:rsidP="00000000" w:rsidRDefault="00000000" w:rsidRPr="00000000" w14:paraId="00000022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高频量价（High-Frequency Price-Volume）因子的崛起：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机构发现，A股的日内分钟级甚至Tick级数据中蕴含着巨大的Alpha。通过机器学习（Machine Learning）挖掘非线性量价模式成为主流。</w:t>
      </w:r>
    </w:p>
    <w:p w:rsidR="00000000" w:rsidDel="00000000" w:rsidP="00000000" w:rsidRDefault="00000000" w:rsidRPr="00000000" w14:paraId="00000023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指数增强策略（Index Enhancement）成为王牌：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在Beta（市场整体上涨）和Alpha（超额收益）双击下，中证500指增产品常年录得20%-30%的超额收益。</w:t>
      </w:r>
    </w:p>
    <w:p w:rsidR="00000000" w:rsidDel="00000000" w:rsidP="00000000" w:rsidRDefault="00000000" w:rsidRPr="00000000" w14:paraId="00000024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盈利逻辑：</w:t>
      </w:r>
    </w:p>
    <w:p w:rsidR="00000000" w:rsidDel="00000000" w:rsidP="00000000" w:rsidRDefault="00000000" w:rsidRPr="00000000" w14:paraId="00000025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波动率捕获：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利用高换手率（年化换手率可达50-100倍）在日内波动中反复收割价差。</w:t>
      </w:r>
    </w:p>
    <w:p w:rsidR="00000000" w:rsidDel="00000000" w:rsidP="00000000" w:rsidRDefault="00000000" w:rsidRPr="00000000" w14:paraId="00000026">
      <w:pPr>
        <w:numPr>
          <w:ilvl w:val="1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小盘股溢价（Size Factor）：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中证500和中证1000指数成分股的高波动性和高贝塔特征，完美契合量化模型。</w:t>
      </w:r>
    </w:p>
    <w:p w:rsidR="00000000" w:rsidDel="00000000" w:rsidP="00000000" w:rsidRDefault="00000000" w:rsidRPr="00000000" w14:paraId="00000027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绩效表现：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这一时期的夏普比率极高，部分优秀产品的夏普比率甚至超过4.0，回撤控制在极小范围内。</w:t>
      </w:r>
    </w:p>
    <w:p w:rsidR="00000000" w:rsidDel="00000000" w:rsidP="00000000" w:rsidRDefault="00000000" w:rsidRPr="00000000" w14:paraId="0000002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2.3 第三阶段：规模瓶颈与微盘股抱团（2022-2023）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关键词：内卷、拥挤、微盘股、DMA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随着行业管理规模（AUM）逼近万亿大关，策略拥挤度（Crowding）急剧上升。传统的量价因子开始失效，超额收益显著衰减。</w:t>
      </w:r>
    </w:p>
    <w:p w:rsidR="00000000" w:rsidDel="00000000" w:rsidP="00000000" w:rsidRDefault="00000000" w:rsidRPr="00000000" w14:paraId="0000002B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策略特征：</w:t>
      </w:r>
    </w:p>
    <w:p w:rsidR="00000000" w:rsidDel="00000000" w:rsidP="00000000" w:rsidRDefault="00000000" w:rsidRPr="00000000" w14:paraId="0000002C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风格下沉：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为了维持高收益，量化机构被迫将持仓从成份股（如中证500）下沉到非成份股，甚至是市值极小的“微盘股”（Micro-caps）。这些股票流动性差，但波动极大，易于操纵和获利。</w:t>
      </w:r>
    </w:p>
    <w:p w:rsidR="00000000" w:rsidDel="00000000" w:rsidP="00000000" w:rsidRDefault="00000000" w:rsidRPr="00000000" w14:paraId="0000002D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DMA（Direct Market Access）业务爆发：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为了放大日益变薄的Alpha，私募通过券商的自营接口进行加杠杆交易（通常为2-4倍杠杆）。这实际上是将量化交易变成了带有高杠杆的赌博。</w:t>
      </w:r>
    </w:p>
    <w:p w:rsidR="00000000" w:rsidDel="00000000" w:rsidP="00000000" w:rsidRDefault="00000000" w:rsidRPr="00000000" w14:paraId="0000002E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市场隐患：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大量资金拥挤在流动性极差的微盘股中，且带有高杠杆，形成了一个巨大的“堰塞湖”。一旦市场反转，流动性枯竭将引发踩踏。</w:t>
      </w:r>
    </w:p>
    <w:p w:rsidR="00000000" w:rsidDel="00000000" w:rsidP="00000000" w:rsidRDefault="00000000" w:rsidRPr="00000000" w14:paraId="0000002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2.4 第四阶段：系统性风险释放与监管重拳（2024）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关键词：量化地震、雪球敲入、流动性危机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2024年初（春节前），A股发生了一场史诗级的流动性危机，被称为“量化地震”。</w:t>
      </w:r>
    </w:p>
    <w:p w:rsidR="00000000" w:rsidDel="00000000" w:rsidP="00000000" w:rsidRDefault="00000000" w:rsidRPr="00000000" w14:paraId="00000032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危机复盘：</w:t>
      </w:r>
    </w:p>
    <w:p w:rsidR="00000000" w:rsidDel="00000000" w:rsidP="00000000" w:rsidRDefault="00000000" w:rsidRPr="00000000" w14:paraId="00000033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雪球产品敲入（Knock-in）：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挂钩中证500/1000的雪球衍生品在大跌中集中敲入，导致券商在期货端被迫平空单（买入期货），导致期货价格飙升。</w:t>
      </w:r>
    </w:p>
    <w:p w:rsidR="00000000" w:rsidDel="00000000" w:rsidP="00000000" w:rsidRDefault="00000000" w:rsidRPr="00000000" w14:paraId="00000034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基差爆仓：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期货价格飙升导致基差（现货-期货）迅速收敛甚至转为升水。对于持有现货多头、期货空头的量化中性策略而言，这是双重打击：现货端微盘股暴跌（流动性枯竭卖不掉），期货端空头亏损（基差急剧收敛）。</w:t>
      </w:r>
    </w:p>
    <w:p w:rsidR="00000000" w:rsidDel="00000000" w:rsidP="00000000" w:rsidRDefault="00000000" w:rsidRPr="00000000" w14:paraId="00000035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DMA去杠杆：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监管层紧急叫停DMA业务，强制降杠杆，进一步加剧了微盘股的抛压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6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监管介入：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2024年4月及7月，沪深北交易所发布《程序化交易管理实施细则》，对高频交易进行了严格定义（300笔/秒）并实施差异化收费，正式宣告了野蛮生长时代的结束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2.5 第五阶段：合规重建与新生态（2025-2026）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关键词：降频、基本面回归、A500、AI深度融合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进入2025年，行业在监管新规下完成了洗牌。</w:t>
      </w:r>
    </w:p>
    <w:p w:rsidR="00000000" w:rsidDel="00000000" w:rsidP="00000000" w:rsidRDefault="00000000" w:rsidRPr="00000000" w14:paraId="0000003A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策略特征：</w:t>
      </w:r>
    </w:p>
    <w:p w:rsidR="00000000" w:rsidDel="00000000" w:rsidP="00000000" w:rsidRDefault="00000000" w:rsidRPr="00000000" w14:paraId="0000003B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全行业降频：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纯粹的高频T+0策略因成本高昂而大幅萎缩，中低频策略成为主流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C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基本面量化复兴：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市场开始重新重视基本面逻辑，结合AI技术挖掘财报文本、供应链数据等另类数据。</w:t>
      </w:r>
    </w:p>
    <w:p w:rsidR="00000000" w:rsidDel="00000000" w:rsidP="00000000" w:rsidRDefault="00000000" w:rsidRPr="00000000" w14:paraId="0000003D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A500指数崛起：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鉴于CSI 500/1000的拥挤，行业开始转向行业分布更均衡的A500指数作为新的增强标的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E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绩效回暖：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2025年，随着市场回暖和竞争格局优化，量化指增策略再次录得惊人回报。全市场指增平均收益率达45.08%，其中中证1000指增平均收益率接近50%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3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核心量化交易策略详解与盈利原因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本节将详细拆解中国市场主流的四类量化策略，并结合2024-2025年的数据分析其盈利的深层原因。</w:t>
      </w:r>
    </w:p>
    <w:p w:rsidR="00000000" w:rsidDel="00000000" w:rsidP="00000000" w:rsidRDefault="00000000" w:rsidRPr="00000000" w14:paraId="0000004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3.1 指数增强策略 (Index Enhancement)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这是目前中国市场规模最大、最受投资者认可的策略类型。</w:t>
      </w:r>
    </w:p>
    <w:p w:rsidR="00000000" w:rsidDel="00000000" w:rsidP="00000000" w:rsidRDefault="00000000" w:rsidRPr="00000000" w14:paraId="00000043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策略定义：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以复制某一指数（如中证500、中证1000）的表现为基础，通过量化模型在成份股内进行超配（Overweight）优质股、低配（Underweight）劣质股，或在成份股外选股，旨在获取超越指数的收益（Alpha）。</w:t>
      </w:r>
    </w:p>
    <w:p w:rsidR="00000000" w:rsidDel="00000000" w:rsidP="00000000" w:rsidRDefault="00000000" w:rsidRPr="00000000" w14:paraId="00000044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盈利原因分析（Alpha Sources）：</w:t>
      </w:r>
    </w:p>
    <w:p w:rsidR="00000000" w:rsidDel="00000000" w:rsidP="00000000" w:rsidRDefault="00000000" w:rsidRPr="00000000" w14:paraId="00000045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波动率剥削（Volatility Harvesting）：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A股中小盘股的高波动性是天然的Alpha金矿。量化模型通过日内高频交易（尽管频率有所降低，但仍高于主观交易），在股价的均值回归中获利。</w:t>
      </w:r>
    </w:p>
    <w:p w:rsidR="00000000" w:rsidDel="00000000" w:rsidP="00000000" w:rsidRDefault="00000000" w:rsidRPr="00000000" w14:paraId="00000046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散户的非理性交易：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散户在中小盘股中的占比极高，其情绪化交易为算法提供了持续的对手盘。</w:t>
      </w:r>
    </w:p>
    <w:p w:rsidR="00000000" w:rsidDel="00000000" w:rsidP="00000000" w:rsidRDefault="00000000" w:rsidRPr="00000000" w14:paraId="00000047">
      <w:pPr>
        <w:numPr>
          <w:ilvl w:val="1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市值下沉（Size Bias）：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历史上，量化指增往往通过暴露在比基准指数市值更小的股票上来获取收益。例如，中证500指增产品往往持有大量中证1000成分股。2025年，中证1000指增表现（49.78%）显著优于沪深300指增（31.22%），再次证明了小市值因子在A股的统治力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48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2025年性能数据：</w:t>
      </w:r>
    </w:p>
    <w:p w:rsidR="00000000" w:rsidDel="00000000" w:rsidP="00000000" w:rsidRDefault="00000000" w:rsidRPr="00000000" w14:paraId="0000004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平均收益率：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45.08%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4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平均超额收益（Alpha）：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16.75%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正超额占比：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约90%的产品跑赢了指数。这在全球成熟市场是不可想象的（美股主动管理型基金很难跑赢S&amp;P 500），证明A股依然是弱有效市场。</w:t>
      </w:r>
    </w:p>
    <w:p w:rsidR="00000000" w:rsidDel="00000000" w:rsidP="00000000" w:rsidRDefault="00000000" w:rsidRPr="00000000" w14:paraId="0000004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3.2 市场中性策略 (Market Neutral)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策略定义：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同时构建股票多头组合（类似于指增）和股指期货空头组合（对冲）。理论上，该策略剥离了市场涨跌风险（Beta），只保留选股能力的收益（Alpha）。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盈利公式：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05500" cy="33237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2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盈利与风险逻辑：</w:t>
      </w:r>
    </w:p>
    <w:p w:rsidR="00000000" w:rsidDel="00000000" w:rsidP="00000000" w:rsidRDefault="00000000" w:rsidRPr="00000000" w14:paraId="0000005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Alpha端：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依赖选股能力，同指增策略。</w:t>
      </w:r>
    </w:p>
    <w:p w:rsidR="00000000" w:rsidDel="00000000" w:rsidP="00000000" w:rsidRDefault="00000000" w:rsidRPr="00000000" w14:paraId="00000051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对冲端（基差风险）：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中性策略的核心命门。通常情况下，期指贴水（期货&lt;现货）意味着对冲需要付出成本（比如每年5%-10%）。但在市场极度悲观时，贴水会扩大；在市场极度乐观或发生流动性危机时（如2024年初），基差会剧烈波动。</w:t>
      </w:r>
    </w:p>
    <w:p w:rsidR="00000000" w:rsidDel="00000000" w:rsidP="00000000" w:rsidRDefault="00000000" w:rsidRPr="00000000" w14:paraId="0000005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2024年教训：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在2024年初的危机中，由于微盘股流动性丧失，多头端跌幅远超指数，而空头端（期货）因雪球敲入反而上涨，导致中性策略遭遇了史无前例的“双杀”回撤。这迫使行业在2025年转向更灵活的对冲方式，如通过跨期套利管理基差风险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5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3.3 管理期货策略 (CTA - Commodity Trading Advisors)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策略定义：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主要交易商品期货（螺纹钢、铁矿石、化工品等）和股指期货。通过趋势跟踪（Trend Following）或期限结构套利获利。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盈利原因：</w:t>
      </w:r>
    </w:p>
    <w:p w:rsidR="00000000" w:rsidDel="00000000" w:rsidP="00000000" w:rsidRDefault="00000000" w:rsidRPr="00000000" w14:paraId="0000005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危机Alpha（Crisis Alpha）：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CTA策略与股票市场的相关性较低。在2018年、2022年等股票熊市中，CTA策略往往能通过做空商品或捕捉波动率上升而获利，起到资产配置的保护伞作用。</w:t>
      </w:r>
    </w:p>
    <w:p w:rsidR="00000000" w:rsidDel="00000000" w:rsidP="00000000" w:rsidRDefault="00000000" w:rsidRPr="00000000" w14:paraId="0000005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商品市场的无效性：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中国商品期货市场同样存在大量散户和产业客户，价格趋势往往具有延续性，适合趋势跟踪策略。</w:t>
      </w:r>
    </w:p>
    <w:p w:rsidR="00000000" w:rsidDel="00000000" w:rsidP="00000000" w:rsidRDefault="00000000" w:rsidRPr="00000000" w14:paraId="0000005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近年表现：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2024-2025年，随着大宗商品价格波动加剧（受地缘政治和供应链影响），CTA策略重回投资者视野，成为平滑投资组合波动的重要工具。</w:t>
      </w:r>
    </w:p>
    <w:p w:rsidR="00000000" w:rsidDel="00000000" w:rsidP="00000000" w:rsidRDefault="00000000" w:rsidRPr="00000000" w14:paraId="0000005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3.4 高频交易 (HFT) 与 T+0 策略</w:t>
      </w:r>
    </w:p>
    <w:p w:rsidR="00000000" w:rsidDel="00000000" w:rsidP="00000000" w:rsidRDefault="00000000" w:rsidRPr="00000000" w14:paraId="0000005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策略定义：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利用极快的速度（毫秒级）进行挂单、撤单，捕捉微小的价格价差。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监管冲击：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2024-2025年的新规对HFT是毁灭性的打击。</w:t>
      </w:r>
    </w:p>
    <w:p w:rsidR="00000000" w:rsidDel="00000000" w:rsidP="00000000" w:rsidRDefault="00000000" w:rsidRPr="00000000" w14:paraId="0000005C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重新定义：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单账户每秒300笔申报/撤单被定义为高频交易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5D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盈利逻辑的终结：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过去依赖“报单-撤单”来探测市场深度或诱导散户的策略（Spoofing-like strategies）被严厉禁止。差异化收费使得极短周期的剥头皮（Scalping）策略无利可图。</w:t>
      </w:r>
    </w:p>
    <w:p w:rsidR="00000000" w:rsidDel="00000000" w:rsidP="00000000" w:rsidRDefault="00000000" w:rsidRPr="00000000" w14:paraId="0000005E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转型方向：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现存的T+0策略更多转向“底仓日内增强”，即在持有底仓的基础上，结合算法进行日内波段操作，降低持仓成本，而非纯粹的高频套利。</w:t>
      </w:r>
    </w:p>
    <w:p w:rsidR="00000000" w:rsidDel="00000000" w:rsidP="00000000" w:rsidRDefault="00000000" w:rsidRPr="00000000" w14:paraId="0000005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 策略性能深度分析：数据与指标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本节整合多方数据，还原过去十年及2025年的策略表现。尽管早期数据缺乏统一公开表格，但结合行业报告与近期披露，我们构建如下分析。</w:t>
      </w:r>
    </w:p>
    <w:p w:rsidR="00000000" w:rsidDel="00000000" w:rsidP="00000000" w:rsidRDefault="00000000" w:rsidRPr="00000000" w14:paraId="0000006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4.1 历年性能概览与夏普比率演变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表1：中国量化指增策略历年表现估算与特征 (2016-2025)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年份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市场环境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主流策略平均超额收益 (Alpha)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夏普比率 (Sharpe Ratio)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关键特征描述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2016-2018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震荡/下跌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10% - 15%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1.5 - 2.0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策略复苏期。大盘蓝筹行情导致小盘风格量化短暂失效。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2019-2021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牛市/结构性行情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20% - 30%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3.0 - 5.0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黄金时期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。高频量价因子大杀四方，回撤极小，收益极高。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2022-2023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震荡下跌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10% - 15%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1.0 - 2.0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规模瓶颈显现。Alpha衰减，策略开始向微盘股拥挤。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剧烈波动/V型反转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-5% - 10% (分化巨大)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&lt; 1.0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量化地震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。年初大幅回撤，下半年缓慢修复。基差风险暴露。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全面回暖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16.75%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2.18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 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  <w:rtl w:val="0"/>
              </w:rPr>
              <w:t xml:space="preserve"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复兴之年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。中小盘指增领跑，头部机构效应显著。</w:t>
            </w:r>
          </w:p>
        </w:tc>
      </w:tr>
    </w:tbl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数据解读：</w:t>
      </w:r>
    </w:p>
    <w:p w:rsidR="00000000" w:rsidDel="00000000" w:rsidP="00000000" w:rsidRDefault="00000000" w:rsidRPr="00000000" w14:paraId="0000008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夏普比率的均值回归：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2019-2021年动辄4.0以上的夏普比率是不可持续的异常状态，反映了当时市场的极度无效和监管的宽松。2025年的夏普比率回落至2.18（对于百亿私募产品），虽然仍远高于欧美市场（通常在0.8-1.5），但已标志着市场逐渐走向成熟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7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8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超额收益的稳定性：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即便在监管趋严的2025年，16.75%的平均超额收益依然证明了A股量化策略的有效性。这主要得益于A股依然庞大的散户交易量（换手率高）。</w:t>
      </w:r>
    </w:p>
    <w:p w:rsidR="00000000" w:rsidDel="00000000" w:rsidP="00000000" w:rsidRDefault="00000000" w:rsidRPr="00000000" w14:paraId="0000008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4.2 2025年详细绩效归因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根据第三方监测数据，2025年是量化策略的大年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表2：2025年不同指数增强策略性能对比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细分策略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平均年度收益率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平均超额收益率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正超额产品占比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备注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中证1000指增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49.78%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17.49%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95.93%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表现最佳，受益于小盘股的高弹性。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沪深300指增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31.22%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10.22%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97.14%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表现稳健，Alpha空间相对较小。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全市场量化指增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45.08%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16.75%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89.00%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整体表现优异。</w:t>
            </w:r>
          </w:p>
        </w:tc>
      </w:tr>
    </w:tbl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规模效应分析：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数据揭示了显著的“马太效应”。管理规模在100亿元以上的头部私募，其平均收益率（50.61%）和平均超额收益（20.26%）均显著高于行业平均水平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9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原因：</w:t>
      </w:r>
    </w:p>
    <w:p w:rsidR="00000000" w:rsidDel="00000000" w:rsidP="00000000" w:rsidRDefault="00000000" w:rsidRPr="00000000" w14:paraId="0000009E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算力壁垒：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头部机构拥有数千张高性能GPU（如H800/A800甚至更先进芯片），能够训练更复杂的深度学习模型（RNN, Transformer）。</w:t>
      </w:r>
    </w:p>
    <w:p w:rsidR="00000000" w:rsidDel="00000000" w:rsidP="00000000" w:rsidRDefault="00000000" w:rsidRPr="00000000" w14:paraId="0000009F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合规成本：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应对新规需要复杂的风控系统和专职合规团队，中小机构无力承担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A0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券源优势：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头部机构在融券互换等业务上拥有优先权。</w:t>
      </w:r>
    </w:p>
    <w:p w:rsidR="00000000" w:rsidDel="00000000" w:rsidP="00000000" w:rsidRDefault="00000000" w:rsidRPr="00000000" w14:paraId="000000A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 监管新规深度解析及其长远影响 (2024-2025)</w:t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2024-2025年实施的《程序化交易管理实施细则》是中国量化发展史上的里程碑。它不是简单的限制，而是对市场生态的重构。</w:t>
      </w:r>
    </w:p>
    <w:p w:rsidR="00000000" w:rsidDel="00000000" w:rsidP="00000000" w:rsidRDefault="00000000" w:rsidRPr="00000000" w14:paraId="000000A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5.1 对高频交易的精准打击</w:t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新规明确了“高频交易”的认定标准：单个账户每秒申报、撤单300笔以上，或单日20000笔以上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A5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直接影响：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依靠极高频率报撤单来探测市场深度或干扰价格的策略（如虚假申报、层叠挂单）直接失效。</w:t>
      </w:r>
    </w:p>
    <w:p w:rsidR="00000000" w:rsidDel="00000000" w:rsidP="00000000" w:rsidRDefault="00000000" w:rsidRPr="00000000" w14:paraId="000000A6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成本约束：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虽然具体的差异化收费标准在不断调整，但核心逻辑是“流量付费”。这迫使量化机构优化代码，减少无效挂单，实际上提高了市场的订单信噪比。</w:t>
      </w:r>
    </w:p>
    <w:p w:rsidR="00000000" w:rsidDel="00000000" w:rsidP="00000000" w:rsidRDefault="00000000" w:rsidRPr="00000000" w14:paraId="000000A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5.2 穿透式监管与公平性重塑</w:t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监管要求对程序化交易进行“穿透式”报告，必须披露策略逻辑、参数设置及最终投资者。</w:t>
      </w:r>
    </w:p>
    <w:p w:rsidR="00000000" w:rsidDel="00000000" w:rsidP="00000000" w:rsidRDefault="00000000" w:rsidRPr="00000000" w14:paraId="000000A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打击“野路子”：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过去一些利用制度漏洞（如利用多账户分仓规避举牌线、利用通道业务隐藏身份）的灰色策略被彻底清理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8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A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保护中小投资者：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限制高频交易的流动性剥削，减少了市场在极端行情下的“闪崩”风险，长期有利于提升散户的持股体验，尽管短期内可能导致市场名义流动性下降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9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A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5.3 行业格局的系统性重构</w:t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监管加速了行业的优胜劣汰。</w:t>
      </w:r>
    </w:p>
    <w:p w:rsidR="00000000" w:rsidDel="00000000" w:rsidP="00000000" w:rsidRDefault="00000000" w:rsidRPr="00000000" w14:paraId="000000AD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中小机构的生存危机：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由于缺乏技术积累和合规能力，单纯依赖“买小票+高频T0”的小型私募面临淘汰。</w:t>
      </w:r>
    </w:p>
    <w:p w:rsidR="00000000" w:rsidDel="00000000" w:rsidP="00000000" w:rsidRDefault="00000000" w:rsidRPr="00000000" w14:paraId="000000AE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头部机构的转型：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头部机构纷纷通过“降频”来适应新规，将竞争维度从“速度”转移到“深度”（Deep Learning）和“广度”（另类数据挖掘）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A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 未来展望与总结</w:t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站在2026年初回望，中国量化交易市场已经完成了从青春期到成人礼的蜕变。</w:t>
      </w:r>
    </w:p>
    <w:p w:rsidR="00000000" w:rsidDel="00000000" w:rsidP="00000000" w:rsidRDefault="00000000" w:rsidRPr="00000000" w14:paraId="000000B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6.1 技术展望：AI的深度介入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随着简单的线性因子被挖掘殆尽，未来的超额收益将主要来自AI。深度强化学习（Deep Reinforcement Learning）将被更多用于组合优化和交易执行。非结构化数据（新闻情感、卫星图像、产业链图谱）的处理能力将成为新的Alpha护城河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B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6.2 市场展望：A500与全球化</w:t>
      </w:r>
    </w:p>
    <w:p w:rsidR="00000000" w:rsidDel="00000000" w:rsidP="00000000" w:rsidRDefault="00000000" w:rsidRPr="00000000" w14:paraId="000000B4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A500的战略地位：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随着中证500/1000赛道的拥挤，A500指数因其更好的行业代表性和流动性，预计将成为未来3-5年量化指增的新主战场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</w:t>
      </w:r>
    </w:p>
    <w:p w:rsidR="00000000" w:rsidDel="00000000" w:rsidP="00000000" w:rsidRDefault="00000000" w:rsidRPr="00000000" w14:paraId="000000B5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出海趋势：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面对国内市场的内卷，具备技术优势的中国量化团队开始将A股验证过的策略模型输出到韩国、越南、印度等新兴市场，开启全球化征程。</w:t>
      </w:r>
    </w:p>
    <w:p w:rsidR="00000000" w:rsidDel="00000000" w:rsidP="00000000" w:rsidRDefault="00000000" w:rsidRPr="00000000" w14:paraId="000000B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6.3 总结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过去十年，中国量化交易凭借A股独特的微观结构和散户红利，创造了全球罕见的高收益奇迹。虽然2024年的监管新规终结了野蛮生长，但2025年的强劲反弹证明，建立在数理逻辑和科技赋能基础上的量化投资，依然是A股市场最高效的资产增值方式之一。对于投资者而言，理解策略背后的风险收益来源，选择具备合规能力和持续迭代能力的管理人，将是未来获利的关键。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报告撰写人：量化金融与市场微观结构研究组</w:t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i w:val="1"/>
          <w:i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日期：2026年2月10日</w: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55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(Note on Citations)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本报告中引用的数据及观点均基于现有研究片段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。特定数据点如2025年收益率、新规阈值等均有明确出处。历年历史趋势基于行业通识与片段信息的逻辑推演。</w:t>
      </w:r>
    </w:p>
    <w:p w:rsidR="00000000" w:rsidDel="00000000" w:rsidP="00000000" w:rsidRDefault="00000000" w:rsidRPr="00000000" w14:paraId="000000BB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Google Sans" w:cs="Google Sans" w:eastAsia="Google Sans" w:hAnsi="Google Sans"/>
        </w:rPr>
      </w:pPr>
      <w:r w:rsidDel="00000000" w:rsidR="00000000" w:rsidRPr="00000000">
        <w:rPr>
          <w:rFonts w:ascii="Google Sans" w:cs="Google Sans" w:eastAsia="Google Sans" w:hAnsi="Google Sans"/>
          <w:rtl w:val="0"/>
        </w:rPr>
        <w:t xml:space="preserve">Works cited</w:t>
      </w:r>
    </w:p>
    <w:p w:rsidR="00000000" w:rsidDel="00000000" w:rsidP="00000000" w:rsidRDefault="00000000" w:rsidRPr="00000000" w14:paraId="000000BC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超45%！2025量化指增策略全景解读出炉 - 中国财富网, accessed February 10, 2026, </w:t>
      </w:r>
      <w:hyperlink r:id="rId7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https://www.cfbond.com/2026/01/21/wap_991118099.html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超45%！2025量化指增策略全景解读出炉 - 中国证券报, accessed February 10, 2026, </w:t>
      </w:r>
      <w:hyperlink r:id="rId8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https://jnzstatic.cs.com.cn/zzb/htmlInfo/c364a10b765f874ad1782827190eab89.html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21深度丨深陷舆论漩涡！起底融券T+0策略的路径、玄机和利益链 - 南方+, accessed February 10, 2026, </w:t>
      </w:r>
      <w:hyperlink r:id="rId9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https://static.nfnews.com/content/202309/15/c8106063.html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2024 年股票量化私募行业业绩总结：市场风格大幅波动，私募指增 ..., accessed February 10, 2026, </w:t>
      </w:r>
      <w:hyperlink r:id="rId10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https://pdf.dfcfw.com/pdf/H301_AP202501051641811775_1.pdf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量化交易新规正式实施，对高频策略影响较大 - 新浪财经, accessed February 10, 2026, </w:t>
      </w:r>
      <w:hyperlink r:id="rId11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https://finance.sina.com.cn/roll/2025-07-07/doc-infesafi6109112.shtml?cre=tianyi&amp;mod=pchp&amp;loc=9&amp;r=0&amp;rfunc=78&amp;tj=cxvertical_pc_hp&amp;tr=12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量化交易新规正式实施，对高频策略影响较大- 中国金融信息网, accessed February 10, 2026, </w:t>
      </w:r>
      <w:hyperlink r:id="rId12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https://www.cnfin.com/yw-lb/detail/20250707/4263911_1.html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2025年百亿私募旗下股票策略产品夏普比率达2.18，10强产品的“上榜门槛”为4.73 - 新浪财经, accessed February 10, 2026, </w:t>
      </w:r>
      <w:hyperlink r:id="rId13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https://finance.sina.com.cn/jjxw/2026-01-29/doc-inhiyrwc7458569.shtml?froms=ggmp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量化交易新规正式实施对高频策略影响较大 - 东方财富, accessed February 10, 2026, </w:t>
      </w:r>
      <w:hyperlink r:id="rId14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https://wap.eastmoney.com/a/202507073450042979.html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量化交易新规落地高频交易戴上“紧箍咒” - 21财经, accessed February 10, 2026, </w:t>
      </w:r>
      <w:hyperlink r:id="rId15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https://m.21jingji.com/article/20250708/02184a4e0d28573065f9785e5173a1e7.html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什么是私募基金的投资组合再平衡？_私募排排网, accessed February 10, 2026, </w:t>
      </w:r>
      <w:hyperlink r:id="rId16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https://www.simuwang.com/news/247963.html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600" w:hanging="360"/>
      </w:pPr>
      <w:r w:rsidDel="00000000" w:rsidR="00000000" w:rsidRPr="00000000">
        <w:rPr>
          <w:rFonts w:ascii="Google Sans" w:cs="Google Sans" w:eastAsia="Google Sans" w:hAnsi="Google Sans"/>
          <w:sz w:val="24"/>
          <w:szCs w:val="24"/>
          <w:rtl w:val="0"/>
        </w:rPr>
        <w:t xml:space="preserve">大超预期！美国12月非农新增就业21.6万人，美联储降息预期降温, accessed February 10, 2026, </w:t>
      </w:r>
      <w:hyperlink r:id="rId17">
        <w:r w:rsidDel="00000000" w:rsidR="00000000" w:rsidRPr="00000000">
          <w:rPr>
            <w:rFonts w:ascii="Google Sans" w:cs="Google Sans" w:eastAsia="Google Sans" w:hAnsi="Google Sans"/>
            <w:color w:val="0000ee"/>
            <w:sz w:val="24"/>
            <w:szCs w:val="24"/>
            <w:u w:val="single"/>
            <w:rtl w:val="0"/>
          </w:rPr>
          <w:t xml:space="preserve">https://m.yicai.com/news/101948839.html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inance.sina.com.cn/roll/2025-07-07/doc-infesafi6109112.shtml?cre=tianyi&amp;mod=pchp&amp;loc=9&amp;r=0&amp;rfunc=78&amp;tj=cxvertical_pc_hp&amp;tr=12" TargetMode="External"/><Relationship Id="rId10" Type="http://schemas.openxmlformats.org/officeDocument/2006/relationships/hyperlink" Target="https://pdf.dfcfw.com/pdf/H301_AP202501051641811775_1.pdf" TargetMode="External"/><Relationship Id="rId13" Type="http://schemas.openxmlformats.org/officeDocument/2006/relationships/hyperlink" Target="https://finance.sina.com.cn/jjxw/2026-01-29/doc-inhiyrwc7458569.shtml?froms=ggmp" TargetMode="External"/><Relationship Id="rId12" Type="http://schemas.openxmlformats.org/officeDocument/2006/relationships/hyperlink" Target="https://www.cnfin.com/yw-lb/detail/20250707/4263911_1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tatic.nfnews.com/content/202309/15/c8106063.html" TargetMode="External"/><Relationship Id="rId15" Type="http://schemas.openxmlformats.org/officeDocument/2006/relationships/hyperlink" Target="https://m.21jingji.com/article/20250708/02184a4e0d28573065f9785e5173a1e7.html" TargetMode="External"/><Relationship Id="rId14" Type="http://schemas.openxmlformats.org/officeDocument/2006/relationships/hyperlink" Target="https://wap.eastmoney.com/a/202507073450042979.html" TargetMode="External"/><Relationship Id="rId17" Type="http://schemas.openxmlformats.org/officeDocument/2006/relationships/hyperlink" Target="https://m.yicai.com/news/101948839.html" TargetMode="External"/><Relationship Id="rId16" Type="http://schemas.openxmlformats.org/officeDocument/2006/relationships/hyperlink" Target="https://www.simuwang.com/news/247963.htm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cfbond.com/2026/01/21/wap_991118099.html" TargetMode="External"/><Relationship Id="rId8" Type="http://schemas.openxmlformats.org/officeDocument/2006/relationships/hyperlink" Target="https://jnzstatic.cs.com.cn/zzb/htmlInfo/c364a10b765f874ad1782827190eab89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